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09496">
      <w:pPr>
        <w:snapToGrid w:val="0"/>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2492400B">
      <w:pPr>
        <w:jc w:val="center"/>
        <w:rPr>
          <w:rFonts w:hint="default"/>
          <w:vertAlign w:val="baseline"/>
          <w:lang w:val="en-US" w:eastAsia="zh-CN"/>
        </w:rPr>
      </w:pPr>
      <w:r>
        <w:rPr>
          <w:rFonts w:hint="eastAsia" w:ascii="方正小标宋简体" w:hAnsi="方正小标宋简体" w:eastAsia="方正小标宋简体" w:cs="方正小标宋简体"/>
          <w:b/>
          <w:color w:val="000000"/>
          <w:sz w:val="44"/>
          <w:szCs w:val="44"/>
        </w:rPr>
        <w:t>评</w:t>
      </w:r>
      <w:r>
        <w:rPr>
          <w:rFonts w:hint="eastAsia" w:ascii="方正小标宋简体" w:hAnsi="方正小标宋简体" w:eastAsia="方正小标宋简体" w:cs="方正小标宋简体"/>
          <w:b/>
          <w:color w:val="000000"/>
          <w:sz w:val="44"/>
          <w:szCs w:val="44"/>
          <w:lang w:eastAsia="zh-CN"/>
        </w:rPr>
        <w:t>价</w:t>
      </w:r>
      <w:r>
        <w:rPr>
          <w:rFonts w:hint="eastAsia" w:ascii="方正小标宋简体" w:hAnsi="方正小标宋简体" w:eastAsia="方正小标宋简体" w:cs="方正小标宋简体"/>
          <w:b/>
          <w:color w:val="000000"/>
          <w:sz w:val="44"/>
          <w:szCs w:val="44"/>
        </w:rPr>
        <w:t>办法</w:t>
      </w:r>
    </w:p>
    <w:tbl>
      <w:tblPr>
        <w:tblStyle w:val="8"/>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461"/>
        <w:gridCol w:w="5532"/>
        <w:gridCol w:w="848"/>
      </w:tblGrid>
      <w:tr w14:paraId="2B3B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38" w:type="dxa"/>
            <w:noWrap w:val="0"/>
            <w:vAlign w:val="center"/>
          </w:tcPr>
          <w:p w14:paraId="251C468C">
            <w:pPr>
              <w:widowControl/>
              <w:spacing w:line="360" w:lineRule="auto"/>
              <w:jc w:val="center"/>
              <w:rPr>
                <w:rFonts w:hint="eastAsia" w:ascii="方正公文小标宋" w:hAnsi="方正公文小标宋" w:eastAsia="方正公文小标宋" w:cs="方正公文小标宋"/>
                <w:sz w:val="28"/>
                <w:szCs w:val="28"/>
                <w:vertAlign w:val="baseline"/>
                <w:lang w:val="en-US" w:eastAsia="zh-CN"/>
              </w:rPr>
            </w:pPr>
            <w:r>
              <w:rPr>
                <w:rFonts w:hint="eastAsia" w:ascii="方正公文小标宋" w:hAnsi="方正公文小标宋" w:eastAsia="方正公文小标宋" w:cs="方正公文小标宋"/>
                <w:b/>
                <w:bCs/>
                <w:sz w:val="28"/>
                <w:szCs w:val="28"/>
              </w:rPr>
              <w:t>评审项</w:t>
            </w:r>
          </w:p>
        </w:tc>
        <w:tc>
          <w:tcPr>
            <w:tcW w:w="1461" w:type="dxa"/>
            <w:noWrap w:val="0"/>
            <w:vAlign w:val="center"/>
          </w:tcPr>
          <w:p w14:paraId="79024AFB">
            <w:pPr>
              <w:widowControl/>
              <w:spacing w:line="360" w:lineRule="auto"/>
              <w:jc w:val="center"/>
              <w:rPr>
                <w:rFonts w:hint="eastAsia" w:ascii="方正公文小标宋" w:hAnsi="方正公文小标宋" w:eastAsia="方正公文小标宋" w:cs="方正公文小标宋"/>
                <w:sz w:val="28"/>
                <w:szCs w:val="28"/>
                <w:vertAlign w:val="baseline"/>
                <w:lang w:val="en-US" w:eastAsia="zh-CN"/>
              </w:rPr>
            </w:pPr>
            <w:r>
              <w:rPr>
                <w:rFonts w:hint="eastAsia" w:ascii="方正公文小标宋" w:hAnsi="方正公文小标宋" w:eastAsia="方正公文小标宋" w:cs="方正公文小标宋"/>
                <w:b/>
                <w:bCs/>
                <w:sz w:val="28"/>
                <w:szCs w:val="28"/>
              </w:rPr>
              <w:t>评分因素</w:t>
            </w:r>
          </w:p>
        </w:tc>
        <w:tc>
          <w:tcPr>
            <w:tcW w:w="5532" w:type="dxa"/>
            <w:noWrap w:val="0"/>
            <w:vAlign w:val="center"/>
          </w:tcPr>
          <w:p w14:paraId="2B1307EB">
            <w:pPr>
              <w:widowControl/>
              <w:spacing w:line="360" w:lineRule="auto"/>
              <w:jc w:val="center"/>
              <w:rPr>
                <w:rFonts w:hint="eastAsia" w:ascii="方正公文小标宋" w:hAnsi="方正公文小标宋" w:eastAsia="方正公文小标宋" w:cs="方正公文小标宋"/>
                <w:sz w:val="28"/>
                <w:szCs w:val="28"/>
                <w:vertAlign w:val="baseline"/>
                <w:lang w:val="en-US" w:eastAsia="zh-CN"/>
              </w:rPr>
            </w:pPr>
            <w:r>
              <w:rPr>
                <w:rFonts w:hint="eastAsia" w:ascii="方正公文小标宋" w:hAnsi="方正公文小标宋" w:eastAsia="方正公文小标宋" w:cs="方正公文小标宋"/>
                <w:b/>
                <w:bCs/>
                <w:sz w:val="28"/>
                <w:szCs w:val="28"/>
              </w:rPr>
              <w:t>评</w:t>
            </w:r>
            <w:r>
              <w:rPr>
                <w:rFonts w:hint="eastAsia" w:ascii="方正公文小标宋" w:hAnsi="方正公文小标宋" w:eastAsia="方正公文小标宋" w:cs="方正公文小标宋"/>
                <w:b/>
                <w:bCs/>
                <w:sz w:val="28"/>
                <w:szCs w:val="28"/>
                <w:lang w:eastAsia="zh-CN"/>
              </w:rPr>
              <w:t>价</w:t>
            </w:r>
            <w:r>
              <w:rPr>
                <w:rFonts w:hint="eastAsia" w:ascii="方正公文小标宋" w:hAnsi="方正公文小标宋" w:eastAsia="方正公文小标宋" w:cs="方正公文小标宋"/>
                <w:b/>
                <w:bCs/>
                <w:sz w:val="28"/>
                <w:szCs w:val="28"/>
              </w:rPr>
              <w:t>标准</w:t>
            </w:r>
          </w:p>
        </w:tc>
        <w:tc>
          <w:tcPr>
            <w:tcW w:w="848" w:type="dxa"/>
            <w:noWrap w:val="0"/>
            <w:vAlign w:val="center"/>
          </w:tcPr>
          <w:p w14:paraId="30D82C8D">
            <w:pPr>
              <w:jc w:val="center"/>
              <w:rPr>
                <w:rFonts w:hint="eastAsia" w:ascii="方正公文小标宋" w:hAnsi="方正公文小标宋" w:eastAsia="方正公文小标宋" w:cs="方正公文小标宋"/>
                <w:sz w:val="28"/>
                <w:szCs w:val="28"/>
                <w:vertAlign w:val="baseline"/>
                <w:lang w:val="en-US" w:eastAsia="zh-CN"/>
              </w:rPr>
            </w:pPr>
            <w:r>
              <w:rPr>
                <w:rFonts w:hint="eastAsia" w:ascii="方正公文小标宋" w:hAnsi="方正公文小标宋" w:eastAsia="方正公文小标宋" w:cs="方正公文小标宋"/>
                <w:sz w:val="28"/>
                <w:szCs w:val="28"/>
                <w:vertAlign w:val="baseline"/>
                <w:lang w:val="en-US" w:eastAsia="zh-CN"/>
              </w:rPr>
              <w:t>备注</w:t>
            </w:r>
          </w:p>
        </w:tc>
      </w:tr>
      <w:tr w14:paraId="36AF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799" w:type="dxa"/>
            <w:gridSpan w:val="2"/>
            <w:noWrap w:val="0"/>
            <w:vAlign w:val="center"/>
          </w:tcPr>
          <w:p w14:paraId="147AA099">
            <w:pPr>
              <w:jc w:val="center"/>
              <w:rPr>
                <w:rFonts w:hint="eastAsia"/>
                <w:vertAlign w:val="baseline"/>
                <w:lang w:val="en-US" w:eastAsia="zh-CN"/>
              </w:rPr>
            </w:pPr>
            <w:r>
              <w:rPr>
                <w:rFonts w:hint="eastAsia"/>
                <w:vertAlign w:val="baseline"/>
                <w:lang w:val="en-US" w:eastAsia="zh-CN"/>
              </w:rPr>
              <w:t>分值构成</w:t>
            </w:r>
          </w:p>
          <w:p w14:paraId="2628C6F4">
            <w:pPr>
              <w:jc w:val="center"/>
              <w:rPr>
                <w:rFonts w:hint="default"/>
                <w:vertAlign w:val="baseline"/>
                <w:lang w:val="en-US" w:eastAsia="zh-CN"/>
              </w:rPr>
            </w:pPr>
            <w:r>
              <w:rPr>
                <w:rFonts w:hint="eastAsia"/>
                <w:vertAlign w:val="baseline"/>
                <w:lang w:val="en-US" w:eastAsia="zh-CN"/>
              </w:rPr>
              <w:t>（总分100分）</w:t>
            </w:r>
          </w:p>
        </w:tc>
        <w:tc>
          <w:tcPr>
            <w:tcW w:w="5532" w:type="dxa"/>
            <w:noWrap w:val="0"/>
            <w:vAlign w:val="center"/>
          </w:tcPr>
          <w:p w14:paraId="44CB85A9">
            <w:pPr>
              <w:pStyle w:val="6"/>
              <w:snapToGrid w:val="0"/>
              <w:spacing w:after="0"/>
              <w:ind w:left="0" w:leftChars="0" w:firstLine="0" w:firstLineChars="0"/>
              <w:jc w:val="center"/>
              <w:rPr>
                <w:rFonts w:hint="eastAsia" w:ascii="宋体" w:hAnsi="宋体" w:eastAsia="宋体" w:cs="宋体"/>
                <w:bCs/>
                <w:kern w:val="0"/>
                <w:sz w:val="21"/>
                <w:szCs w:val="21"/>
              </w:rPr>
            </w:pPr>
            <w:r>
              <w:rPr>
                <w:rFonts w:hint="eastAsia" w:ascii="宋体" w:hAnsi="宋体" w:eastAsia="宋体" w:cs="宋体"/>
                <w:bCs/>
                <w:kern w:val="0"/>
                <w:sz w:val="21"/>
                <w:szCs w:val="21"/>
              </w:rPr>
              <w:t>报价部分：</w:t>
            </w: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rPr>
              <w:t>分</w:t>
            </w:r>
          </w:p>
          <w:p w14:paraId="72E4B9F8">
            <w:pPr>
              <w:jc w:val="center"/>
              <w:rPr>
                <w:rFonts w:hint="default"/>
                <w:vertAlign w:val="baseline"/>
                <w:lang w:val="en-US" w:eastAsia="zh-CN"/>
              </w:rPr>
            </w:pPr>
            <w:r>
              <w:rPr>
                <w:rFonts w:hint="eastAsia" w:ascii="宋体" w:hAnsi="宋体" w:eastAsia="宋体" w:cs="宋体"/>
                <w:bCs/>
                <w:kern w:val="0"/>
                <w:sz w:val="21"/>
                <w:szCs w:val="21"/>
              </w:rPr>
              <w:t>综合部分：</w:t>
            </w:r>
            <w:r>
              <w:rPr>
                <w:rFonts w:hint="eastAsia" w:ascii="宋体" w:hAnsi="宋体" w:eastAsia="宋体" w:cs="宋体"/>
                <w:bCs/>
                <w:kern w:val="0"/>
                <w:sz w:val="21"/>
                <w:szCs w:val="21"/>
                <w:lang w:val="en-US" w:eastAsia="zh-CN"/>
              </w:rPr>
              <w:t>80</w:t>
            </w:r>
            <w:r>
              <w:rPr>
                <w:rFonts w:hint="eastAsia" w:ascii="宋体" w:hAnsi="宋体" w:eastAsia="宋体" w:cs="宋体"/>
                <w:bCs/>
                <w:kern w:val="0"/>
                <w:sz w:val="21"/>
                <w:szCs w:val="21"/>
              </w:rPr>
              <w:t>分</w:t>
            </w:r>
          </w:p>
        </w:tc>
        <w:tc>
          <w:tcPr>
            <w:tcW w:w="848" w:type="dxa"/>
            <w:noWrap w:val="0"/>
            <w:vAlign w:val="center"/>
          </w:tcPr>
          <w:p w14:paraId="1677C7CF">
            <w:pPr>
              <w:jc w:val="center"/>
              <w:rPr>
                <w:rFonts w:hint="default"/>
                <w:vertAlign w:val="baseline"/>
                <w:lang w:val="en-US" w:eastAsia="zh-CN"/>
              </w:rPr>
            </w:pPr>
          </w:p>
        </w:tc>
      </w:tr>
      <w:tr w14:paraId="0C41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338" w:type="dxa"/>
            <w:noWrap w:val="0"/>
            <w:vAlign w:val="center"/>
          </w:tcPr>
          <w:p w14:paraId="124BDFE9">
            <w:pPr>
              <w:jc w:val="center"/>
              <w:rPr>
                <w:rFonts w:hint="default"/>
                <w:vertAlign w:val="baseline"/>
                <w:lang w:val="en-US" w:eastAsia="zh-CN"/>
              </w:rPr>
            </w:pPr>
            <w:r>
              <w:rPr>
                <w:rFonts w:hint="eastAsia"/>
                <w:vertAlign w:val="baseline"/>
                <w:lang w:val="en-US" w:eastAsia="zh-CN"/>
              </w:rPr>
              <w:t>报价部分</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1461" w:type="dxa"/>
            <w:noWrap w:val="0"/>
            <w:vAlign w:val="center"/>
          </w:tcPr>
          <w:p w14:paraId="062C7D73">
            <w:pPr>
              <w:jc w:val="center"/>
              <w:rPr>
                <w:rFonts w:hint="eastAsia"/>
                <w:vertAlign w:val="baseline"/>
                <w:lang w:val="en-US" w:eastAsia="zh-CN"/>
              </w:rPr>
            </w:pPr>
            <w:r>
              <w:rPr>
                <w:rFonts w:hint="eastAsia"/>
                <w:vertAlign w:val="baseline"/>
                <w:lang w:val="en-US" w:eastAsia="zh-CN"/>
              </w:rPr>
              <w:t>投标价格</w:t>
            </w:r>
          </w:p>
          <w:p w14:paraId="2885296A">
            <w:pPr>
              <w:jc w:val="center"/>
              <w:rPr>
                <w:rFonts w:hint="default"/>
                <w:vertAlign w:val="baseline"/>
                <w:lang w:val="en-US" w:eastAsia="zh-CN"/>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5532" w:type="dxa"/>
            <w:noWrap w:val="0"/>
            <w:vAlign w:val="center"/>
          </w:tcPr>
          <w:p w14:paraId="34B02318">
            <w:pPr>
              <w:jc w:val="both"/>
              <w:rPr>
                <w:rFonts w:hint="default"/>
                <w:vertAlign w:val="baseline"/>
                <w:lang w:val="en-US" w:eastAsia="zh-CN"/>
              </w:rPr>
            </w:pPr>
            <w:r>
              <w:rPr>
                <w:rFonts w:hint="eastAsia" w:ascii="宋体" w:hAnsi="宋体" w:eastAsia="宋体" w:cs="宋体"/>
                <w:kern w:val="0"/>
                <w:sz w:val="21"/>
                <w:szCs w:val="21"/>
                <w:highlight w:val="none"/>
              </w:rPr>
              <w:t>满足采购文件要求且</w:t>
            </w:r>
            <w:r>
              <w:rPr>
                <w:rFonts w:hint="eastAsia" w:ascii="宋体" w:hAnsi="宋体" w:cs="宋体"/>
                <w:kern w:val="0"/>
                <w:sz w:val="21"/>
                <w:szCs w:val="21"/>
                <w:highlight w:val="none"/>
                <w:lang w:val="en-US" w:eastAsia="zh-CN"/>
              </w:rPr>
              <w:t>总价</w:t>
            </w:r>
            <w:r>
              <w:rPr>
                <w:rFonts w:hint="eastAsia" w:ascii="宋体" w:hAnsi="宋体" w:eastAsia="宋体" w:cs="宋体"/>
                <w:kern w:val="0"/>
                <w:sz w:val="21"/>
                <w:szCs w:val="21"/>
                <w:highlight w:val="none"/>
              </w:rPr>
              <w:t>最低的报价为评审基准价</w:t>
            </w:r>
            <w:r>
              <w:rPr>
                <w:rFonts w:hint="eastAsia" w:ascii="宋体" w:hAnsi="宋体" w:eastAsia="宋体" w:cs="宋体"/>
                <w:color w:val="000000"/>
                <w:sz w:val="21"/>
                <w:szCs w:val="21"/>
                <w:highlight w:val="none"/>
              </w:rPr>
              <w:t>，其价格分为满分。其他投标人的价格分统一按照下列公式计算：投标报价得分=(</w:t>
            </w:r>
            <w:r>
              <w:rPr>
                <w:rFonts w:hint="eastAsia" w:ascii="宋体" w:hAnsi="宋体" w:eastAsia="宋体" w:cs="宋体"/>
                <w:kern w:val="0"/>
                <w:sz w:val="21"/>
                <w:szCs w:val="21"/>
              </w:rPr>
              <w:t>评审基准价／</w:t>
            </w:r>
            <w:r>
              <w:rPr>
                <w:rFonts w:hint="eastAsia" w:ascii="宋体" w:hAnsi="宋体" w:cs="宋体"/>
                <w:b w:val="0"/>
                <w:bCs w:val="0"/>
                <w:kern w:val="0"/>
                <w:sz w:val="21"/>
                <w:szCs w:val="21"/>
                <w:lang w:val="en-US" w:eastAsia="zh-CN"/>
              </w:rPr>
              <w:t>报价总价</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%×1</w:t>
            </w:r>
            <w:r>
              <w:rPr>
                <w:rFonts w:hint="eastAsia" w:ascii="宋体" w:hAnsi="宋体" w:eastAsia="宋体" w:cs="宋体"/>
                <w:kern w:val="0"/>
                <w:szCs w:val="21"/>
              </w:rPr>
              <w:t>00 </w:t>
            </w:r>
          </w:p>
        </w:tc>
        <w:tc>
          <w:tcPr>
            <w:tcW w:w="848" w:type="dxa"/>
            <w:noWrap w:val="0"/>
            <w:vAlign w:val="center"/>
          </w:tcPr>
          <w:p w14:paraId="66F28776">
            <w:pPr>
              <w:jc w:val="center"/>
              <w:rPr>
                <w:rFonts w:hint="default"/>
                <w:vertAlign w:val="baseline"/>
                <w:lang w:val="en-US" w:eastAsia="zh-CN"/>
              </w:rPr>
            </w:pPr>
          </w:p>
        </w:tc>
      </w:tr>
      <w:tr w14:paraId="6CCE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38" w:type="dxa"/>
            <w:vMerge w:val="restart"/>
            <w:noWrap w:val="0"/>
            <w:vAlign w:val="center"/>
          </w:tcPr>
          <w:p w14:paraId="4363AE0A">
            <w:pPr>
              <w:jc w:val="center"/>
              <w:rPr>
                <w:rFonts w:hint="eastAsia" w:ascii="宋体" w:hAnsi="宋体" w:eastAsia="宋体" w:cs="宋体"/>
                <w:bCs/>
                <w:kern w:val="0"/>
                <w:sz w:val="21"/>
                <w:szCs w:val="21"/>
              </w:rPr>
            </w:pPr>
            <w:r>
              <w:rPr>
                <w:rFonts w:hint="eastAsia" w:ascii="宋体" w:hAnsi="宋体" w:eastAsia="宋体" w:cs="宋体"/>
                <w:bCs/>
                <w:kern w:val="0"/>
                <w:sz w:val="21"/>
                <w:szCs w:val="21"/>
              </w:rPr>
              <w:t>综合部分</w:t>
            </w:r>
          </w:p>
          <w:p w14:paraId="098B31F1">
            <w:pPr>
              <w:pStyle w:val="2"/>
              <w:ind w:left="0" w:leftChars="0" w:firstLine="0" w:firstLineChars="0"/>
              <w:jc w:val="center"/>
              <w:rPr>
                <w:rFonts w:hint="eastAsia" w:eastAsia="宋体"/>
                <w:lang w:val="en-US" w:eastAsia="zh-CN"/>
              </w:rPr>
            </w:pP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lang w:val="en-US" w:eastAsia="zh-CN"/>
              </w:rPr>
              <w:t>80分</w:t>
            </w:r>
            <w:r>
              <w:rPr>
                <w:rFonts w:hint="eastAsia" w:ascii="宋体" w:hAnsi="宋体" w:eastAsia="宋体" w:cs="宋体"/>
                <w:bCs/>
                <w:kern w:val="0"/>
                <w:sz w:val="21"/>
                <w:szCs w:val="21"/>
                <w:lang w:eastAsia="zh-CN"/>
              </w:rPr>
              <w:t>）</w:t>
            </w:r>
          </w:p>
        </w:tc>
        <w:tc>
          <w:tcPr>
            <w:tcW w:w="1461" w:type="dxa"/>
            <w:noWrap w:val="0"/>
            <w:vAlign w:val="center"/>
          </w:tcPr>
          <w:p w14:paraId="36F1C5F1">
            <w:pPr>
              <w:jc w:val="center"/>
              <w:rPr>
                <w:rFonts w:hint="eastAsia"/>
                <w:vertAlign w:val="baseline"/>
                <w:lang w:val="en-US" w:eastAsia="zh-CN"/>
              </w:rPr>
            </w:pPr>
            <w:r>
              <w:rPr>
                <w:rFonts w:hint="eastAsia"/>
                <w:vertAlign w:val="baseline"/>
                <w:lang w:val="en-US" w:eastAsia="zh-CN"/>
              </w:rPr>
              <w:t>行业资质</w:t>
            </w:r>
          </w:p>
          <w:p w14:paraId="4220DB80">
            <w:pPr>
              <w:jc w:val="center"/>
              <w:rPr>
                <w:rFonts w:hint="default"/>
                <w:vertAlign w:val="baseline"/>
                <w:lang w:val="en-US" w:eastAsia="zh-CN"/>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5532" w:type="dxa"/>
            <w:noWrap w:val="0"/>
            <w:vAlign w:val="center"/>
          </w:tcPr>
          <w:p w14:paraId="7C7C2637">
            <w:pPr>
              <w:jc w:val="both"/>
              <w:rPr>
                <w:rFonts w:hint="default"/>
                <w:vertAlign w:val="baseline"/>
                <w:lang w:val="en-US" w:eastAsia="zh-CN"/>
              </w:rPr>
            </w:pPr>
            <w:r>
              <w:rPr>
                <w:rFonts w:hint="default"/>
                <w:vertAlign w:val="baseline"/>
                <w:lang w:val="en-US" w:eastAsia="zh-CN"/>
              </w:rPr>
              <w:t>具备CMA（计量认证）、CNAS（实验室认可）资质</w:t>
            </w:r>
            <w:r>
              <w:rPr>
                <w:rFonts w:hint="eastAsia"/>
                <w:vertAlign w:val="baseline"/>
                <w:lang w:val="en-US" w:eastAsia="zh-CN"/>
              </w:rPr>
              <w:t>（有1项得5分）；具有农产品专项检测资质（7分）；近3年无行政处罚或不良记录（3分），有记录则不得分。</w:t>
            </w:r>
          </w:p>
        </w:tc>
        <w:tc>
          <w:tcPr>
            <w:tcW w:w="848" w:type="dxa"/>
            <w:noWrap w:val="0"/>
            <w:vAlign w:val="center"/>
          </w:tcPr>
          <w:p w14:paraId="47E4BB06">
            <w:pPr>
              <w:jc w:val="center"/>
              <w:rPr>
                <w:rFonts w:hint="default"/>
                <w:vertAlign w:val="baseline"/>
                <w:lang w:val="en-US" w:eastAsia="zh-CN"/>
              </w:rPr>
            </w:pPr>
          </w:p>
        </w:tc>
      </w:tr>
      <w:tr w14:paraId="2842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1338" w:type="dxa"/>
            <w:vMerge w:val="continue"/>
            <w:noWrap w:val="0"/>
            <w:vAlign w:val="center"/>
          </w:tcPr>
          <w:p w14:paraId="1A75F8C8">
            <w:pPr>
              <w:jc w:val="center"/>
              <w:rPr>
                <w:rFonts w:hint="default"/>
                <w:vertAlign w:val="baseline"/>
                <w:lang w:val="en-US" w:eastAsia="zh-CN"/>
              </w:rPr>
            </w:pPr>
          </w:p>
        </w:tc>
        <w:tc>
          <w:tcPr>
            <w:tcW w:w="1461" w:type="dxa"/>
            <w:noWrap w:val="0"/>
            <w:vAlign w:val="center"/>
          </w:tcPr>
          <w:p w14:paraId="6D1E0781">
            <w:pPr>
              <w:jc w:val="center"/>
              <w:rPr>
                <w:rFonts w:hint="eastAsia"/>
                <w:vertAlign w:val="baseline"/>
                <w:lang w:val="en-US" w:eastAsia="zh-CN"/>
              </w:rPr>
            </w:pPr>
            <w:r>
              <w:rPr>
                <w:rFonts w:hint="eastAsia"/>
                <w:vertAlign w:val="baseline"/>
                <w:lang w:val="en-US" w:eastAsia="zh-CN"/>
              </w:rPr>
              <w:t>检测设备</w:t>
            </w:r>
          </w:p>
          <w:p w14:paraId="041933C8">
            <w:pPr>
              <w:jc w:val="center"/>
              <w:rPr>
                <w:rFonts w:hint="default"/>
                <w:vertAlign w:val="baseline"/>
                <w:lang w:val="en-US" w:eastAsia="zh-CN"/>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5532" w:type="dxa"/>
            <w:noWrap w:val="0"/>
            <w:vAlign w:val="center"/>
          </w:tcPr>
          <w:p w14:paraId="37DD1B27">
            <w:pPr>
              <w:pStyle w:val="6"/>
              <w:snapToGrid w:val="0"/>
              <w:spacing w:after="0"/>
              <w:ind w:left="0" w:leftChars="0" w:firstLine="0" w:firstLineChars="0"/>
              <w:rPr>
                <w:rFonts w:hint="eastAsia" w:ascii="宋体" w:hAnsi="宋体" w:eastAsia="宋体" w:cs="宋体"/>
                <w:bCs/>
                <w:kern w:val="0"/>
                <w:sz w:val="21"/>
                <w:szCs w:val="21"/>
              </w:rPr>
            </w:pPr>
            <w:r>
              <w:rPr>
                <w:rFonts w:hint="eastAsia" w:ascii="宋体" w:hAnsi="宋体" w:eastAsia="宋体" w:cs="宋体"/>
                <w:bCs/>
                <w:kern w:val="0"/>
                <w:sz w:val="21"/>
                <w:szCs w:val="21"/>
              </w:rPr>
              <w:t>供应商具有与开展工作相适应的仪器设备：</w:t>
            </w:r>
          </w:p>
          <w:p w14:paraId="066A2E07">
            <w:pPr>
              <w:pStyle w:val="6"/>
              <w:snapToGrid w:val="0"/>
              <w:spacing w:after="0"/>
              <w:ind w:left="0" w:leftChars="0" w:firstLine="0" w:firstLineChars="0"/>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pH/电导率测量仪、紫外可见分光光度计、电子天平(</w:t>
            </w:r>
            <w:r>
              <w:rPr>
                <w:rFonts w:hint="eastAsia" w:ascii="宋体" w:hAnsi="宋体" w:eastAsia="宋体" w:cs="宋体"/>
                <w:bCs/>
                <w:kern w:val="0"/>
                <w:sz w:val="21"/>
                <w:szCs w:val="21"/>
                <w:lang w:val="en-US" w:eastAsia="zh-CN"/>
              </w:rPr>
              <w:t>十</w:t>
            </w:r>
            <w:r>
              <w:rPr>
                <w:rFonts w:hint="eastAsia" w:ascii="宋体" w:hAnsi="宋体" w:eastAsia="宋体" w:cs="宋体"/>
                <w:bCs/>
                <w:kern w:val="0"/>
                <w:sz w:val="21"/>
                <w:szCs w:val="21"/>
              </w:rPr>
              <w:t>万分之一)、双通道低本底αβ测量仪、离子色谱仪、气相色谱仪、原子吸收、原子荧光、气质联动仪、ICP-MS</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气相色谱-三重四级杆质谱联用仪</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三重四级杆</w:t>
            </w:r>
            <w:r>
              <w:rPr>
                <w:rFonts w:hint="eastAsia" w:ascii="宋体" w:hAnsi="宋体" w:eastAsia="宋体" w:cs="宋体"/>
                <w:bCs/>
                <w:kern w:val="0"/>
                <w:sz w:val="21"/>
                <w:szCs w:val="21"/>
                <w:lang w:eastAsia="zh-CN"/>
              </w:rPr>
              <w:t>液</w:t>
            </w:r>
            <w:r>
              <w:rPr>
                <w:rFonts w:hint="eastAsia" w:ascii="宋体" w:hAnsi="宋体" w:eastAsia="宋体" w:cs="宋体"/>
                <w:bCs/>
                <w:kern w:val="0"/>
                <w:sz w:val="21"/>
                <w:szCs w:val="21"/>
              </w:rPr>
              <w:t>质联用仪</w:t>
            </w:r>
            <w:r>
              <w:rPr>
                <w:rFonts w:hint="eastAsia" w:ascii="宋体" w:hAnsi="宋体" w:eastAsia="宋体" w:cs="宋体"/>
                <w:bCs/>
                <w:kern w:val="0"/>
                <w:sz w:val="21"/>
                <w:szCs w:val="21"/>
                <w:lang w:eastAsia="zh-CN"/>
              </w:rPr>
              <w:t>。</w:t>
            </w:r>
          </w:p>
          <w:p w14:paraId="49BD5509">
            <w:pPr>
              <w:jc w:val="both"/>
              <w:rPr>
                <w:rFonts w:hint="default"/>
                <w:vertAlign w:val="baseline"/>
                <w:lang w:val="en-US" w:eastAsia="zh-CN"/>
              </w:rPr>
            </w:pPr>
            <w:r>
              <w:rPr>
                <w:rFonts w:hint="eastAsia" w:ascii="宋体" w:hAnsi="宋体" w:eastAsia="宋体" w:cs="宋体"/>
                <w:bCs/>
                <w:kern w:val="0"/>
                <w:sz w:val="21"/>
                <w:szCs w:val="21"/>
              </w:rPr>
              <w:t>每具备其中一类仪器的得</w:t>
            </w:r>
            <w:r>
              <w:rPr>
                <w:rFonts w:hint="eastAsia" w:ascii="宋体" w:hAnsi="宋体" w:eastAsia="宋体" w:cs="宋体"/>
                <w:bCs/>
                <w:kern w:val="0"/>
                <w:sz w:val="21"/>
                <w:szCs w:val="21"/>
                <w:lang w:val="en-US" w:eastAsia="zh-CN"/>
              </w:rPr>
              <w:t>2</w:t>
            </w:r>
            <w:r>
              <w:rPr>
                <w:rFonts w:hint="eastAsia" w:ascii="宋体" w:hAnsi="宋体" w:eastAsia="宋体" w:cs="宋体"/>
                <w:bCs/>
                <w:kern w:val="0"/>
                <w:sz w:val="21"/>
                <w:szCs w:val="21"/>
              </w:rPr>
              <w:t>分，最多得</w:t>
            </w:r>
            <w:r>
              <w:rPr>
                <w:rFonts w:hint="eastAsia" w:ascii="宋体" w:hAnsi="宋体" w:eastAsia="宋体" w:cs="宋体"/>
                <w:bCs/>
                <w:kern w:val="0"/>
                <w:sz w:val="21"/>
                <w:szCs w:val="21"/>
                <w:lang w:val="en-US" w:eastAsia="zh-CN"/>
              </w:rPr>
              <w:t>20</w:t>
            </w:r>
            <w:r>
              <w:rPr>
                <w:rFonts w:hint="eastAsia" w:ascii="宋体" w:hAnsi="宋体" w:eastAsia="宋体" w:cs="宋体"/>
                <w:bCs/>
                <w:kern w:val="0"/>
                <w:sz w:val="21"/>
                <w:szCs w:val="21"/>
              </w:rPr>
              <w:t>分。（响应文件中需提供仪器购置发票扫描件</w:t>
            </w:r>
            <w:r>
              <w:rPr>
                <w:rFonts w:hint="eastAsia" w:ascii="宋体" w:hAnsi="宋体" w:eastAsia="宋体" w:cs="宋体"/>
                <w:bCs/>
                <w:kern w:val="0"/>
                <w:sz w:val="21"/>
                <w:szCs w:val="21"/>
                <w:highlight w:val="none"/>
              </w:rPr>
              <w:t>或在有效期内的检定/校准证书扫描件，否则不得分。）</w:t>
            </w:r>
          </w:p>
        </w:tc>
        <w:tc>
          <w:tcPr>
            <w:tcW w:w="848" w:type="dxa"/>
            <w:noWrap w:val="0"/>
            <w:vAlign w:val="center"/>
          </w:tcPr>
          <w:p w14:paraId="75E45E1D">
            <w:pPr>
              <w:jc w:val="center"/>
              <w:rPr>
                <w:rFonts w:hint="default"/>
                <w:vertAlign w:val="baseline"/>
                <w:lang w:val="en-US" w:eastAsia="zh-CN"/>
              </w:rPr>
            </w:pPr>
          </w:p>
        </w:tc>
      </w:tr>
      <w:tr w14:paraId="7AF5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38" w:type="dxa"/>
            <w:vMerge w:val="continue"/>
            <w:noWrap w:val="0"/>
            <w:vAlign w:val="center"/>
          </w:tcPr>
          <w:p w14:paraId="2758878F">
            <w:pPr>
              <w:jc w:val="center"/>
              <w:rPr>
                <w:rFonts w:hint="default"/>
                <w:vertAlign w:val="baseline"/>
                <w:lang w:val="en-US" w:eastAsia="zh-CN"/>
              </w:rPr>
            </w:pPr>
          </w:p>
        </w:tc>
        <w:tc>
          <w:tcPr>
            <w:tcW w:w="1461" w:type="dxa"/>
            <w:noWrap w:val="0"/>
            <w:vAlign w:val="center"/>
          </w:tcPr>
          <w:p w14:paraId="135AFB3D">
            <w:pPr>
              <w:jc w:val="center"/>
              <w:rPr>
                <w:rFonts w:hint="eastAsia"/>
                <w:vertAlign w:val="baseline"/>
                <w:lang w:val="en-US" w:eastAsia="zh-CN"/>
              </w:rPr>
            </w:pPr>
            <w:r>
              <w:rPr>
                <w:rFonts w:hint="eastAsia"/>
                <w:vertAlign w:val="baseline"/>
                <w:lang w:val="en-US" w:eastAsia="zh-CN"/>
              </w:rPr>
              <w:t>办公硬件</w:t>
            </w:r>
          </w:p>
          <w:p w14:paraId="0E287DFC">
            <w:pPr>
              <w:pStyle w:val="2"/>
              <w:ind w:left="0" w:leftChars="0" w:firstLine="0" w:firstLineChars="0"/>
              <w:jc w:val="center"/>
              <w:rPr>
                <w:rFonts w:hint="default"/>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0分）</w:t>
            </w:r>
          </w:p>
        </w:tc>
        <w:tc>
          <w:tcPr>
            <w:tcW w:w="5532" w:type="dxa"/>
            <w:noWrap w:val="0"/>
            <w:vAlign w:val="center"/>
          </w:tcPr>
          <w:p w14:paraId="62F04867">
            <w:pPr>
              <w:jc w:val="both"/>
              <w:rPr>
                <w:rFonts w:hint="default"/>
                <w:vertAlign w:val="baseline"/>
                <w:lang w:val="en-US" w:eastAsia="zh-CN"/>
              </w:rPr>
            </w:pPr>
            <w:r>
              <w:rPr>
                <w:rFonts w:hint="eastAsia" w:ascii="宋体" w:hAnsi="宋体" w:eastAsia="宋体" w:cs="宋体"/>
                <w:bCs/>
                <w:kern w:val="0"/>
                <w:sz w:val="21"/>
                <w:szCs w:val="21"/>
                <w:lang w:val="en-US" w:eastAsia="zh-CN" w:bidi="ar-SA"/>
              </w:rPr>
              <w:t>单位办公及实验室面积5</w:t>
            </w:r>
            <w:r>
              <w:rPr>
                <w:rFonts w:hint="eastAsia" w:ascii="宋体" w:hAnsi="宋体" w:cs="宋体"/>
                <w:bCs/>
                <w:kern w:val="0"/>
                <w:sz w:val="21"/>
                <w:szCs w:val="21"/>
                <w:lang w:val="en-US" w:eastAsia="zh-CN" w:bidi="ar-SA"/>
              </w:rPr>
              <w:t>0</w:t>
            </w:r>
            <w:r>
              <w:rPr>
                <w:rFonts w:hint="eastAsia" w:ascii="宋体" w:hAnsi="宋体" w:eastAsia="宋体" w:cs="宋体"/>
                <w:bCs/>
                <w:kern w:val="0"/>
                <w:sz w:val="21"/>
                <w:szCs w:val="21"/>
                <w:lang w:val="en-US" w:eastAsia="zh-CN" w:bidi="ar-SA"/>
              </w:rPr>
              <w:t>00平米以上的得</w:t>
            </w:r>
            <w:r>
              <w:rPr>
                <w:rFonts w:hint="eastAsia" w:ascii="宋体" w:hAnsi="宋体" w:cs="宋体"/>
                <w:bCs/>
                <w:kern w:val="0"/>
                <w:sz w:val="21"/>
                <w:szCs w:val="21"/>
                <w:lang w:val="en-US" w:eastAsia="zh-CN" w:bidi="ar-SA"/>
              </w:rPr>
              <w:t>10</w:t>
            </w:r>
            <w:r>
              <w:rPr>
                <w:rFonts w:hint="eastAsia" w:ascii="宋体" w:hAnsi="宋体" w:eastAsia="宋体" w:cs="宋体"/>
                <w:bCs/>
                <w:kern w:val="0"/>
                <w:sz w:val="21"/>
                <w:szCs w:val="21"/>
                <w:lang w:val="en-US" w:eastAsia="zh-CN" w:bidi="ar-SA"/>
              </w:rPr>
              <w:t>分，250</w:t>
            </w:r>
            <w:r>
              <w:rPr>
                <w:rFonts w:hint="eastAsia" w:ascii="宋体" w:hAnsi="宋体" w:cs="宋体"/>
                <w:bCs/>
                <w:kern w:val="0"/>
                <w:sz w:val="21"/>
                <w:szCs w:val="21"/>
                <w:lang w:val="en-US" w:eastAsia="zh-CN" w:bidi="ar-SA"/>
              </w:rPr>
              <w:t>0</w:t>
            </w:r>
            <w:r>
              <w:rPr>
                <w:rFonts w:hint="eastAsia" w:ascii="宋体" w:hAnsi="宋体" w:eastAsia="宋体" w:cs="宋体"/>
                <w:bCs/>
                <w:kern w:val="0"/>
                <w:sz w:val="21"/>
                <w:szCs w:val="21"/>
                <w:lang w:val="en-US" w:eastAsia="zh-CN" w:bidi="ar-SA"/>
              </w:rPr>
              <w:t>-3500 平米的得</w:t>
            </w:r>
            <w:r>
              <w:rPr>
                <w:rFonts w:hint="eastAsia" w:ascii="宋体" w:hAnsi="宋体" w:cs="宋体"/>
                <w:bCs/>
                <w:kern w:val="0"/>
                <w:sz w:val="21"/>
                <w:szCs w:val="21"/>
                <w:lang w:val="en-US" w:eastAsia="zh-CN" w:bidi="ar-SA"/>
              </w:rPr>
              <w:t>8</w:t>
            </w:r>
            <w:r>
              <w:rPr>
                <w:rFonts w:hint="eastAsia" w:ascii="宋体" w:hAnsi="宋体" w:eastAsia="宋体" w:cs="宋体"/>
                <w:bCs/>
                <w:kern w:val="0"/>
                <w:sz w:val="21"/>
                <w:szCs w:val="21"/>
                <w:lang w:val="en-US" w:eastAsia="zh-CN" w:bidi="ar-SA"/>
              </w:rPr>
              <w:t>分；150</w:t>
            </w:r>
            <w:r>
              <w:rPr>
                <w:rFonts w:hint="eastAsia" w:ascii="宋体" w:hAnsi="宋体" w:cs="宋体"/>
                <w:bCs/>
                <w:kern w:val="0"/>
                <w:sz w:val="21"/>
                <w:szCs w:val="21"/>
                <w:lang w:val="en-US" w:eastAsia="zh-CN" w:bidi="ar-SA"/>
              </w:rPr>
              <w:t>0</w:t>
            </w:r>
            <w:r>
              <w:rPr>
                <w:rFonts w:hint="eastAsia" w:ascii="宋体" w:hAnsi="宋体" w:eastAsia="宋体" w:cs="宋体"/>
                <w:bCs/>
                <w:kern w:val="0"/>
                <w:sz w:val="21"/>
                <w:szCs w:val="21"/>
                <w:lang w:val="en-US" w:eastAsia="zh-CN" w:bidi="ar-SA"/>
              </w:rPr>
              <w:t>-2500 平米得</w:t>
            </w:r>
            <w:r>
              <w:rPr>
                <w:rFonts w:hint="eastAsia" w:ascii="宋体" w:hAnsi="宋体" w:cs="宋体"/>
                <w:bCs/>
                <w:kern w:val="0"/>
                <w:sz w:val="21"/>
                <w:szCs w:val="21"/>
                <w:lang w:val="en-US" w:eastAsia="zh-CN" w:bidi="ar-SA"/>
              </w:rPr>
              <w:t>5</w:t>
            </w:r>
            <w:r>
              <w:rPr>
                <w:rFonts w:hint="eastAsia" w:ascii="宋体" w:hAnsi="宋体" w:eastAsia="宋体" w:cs="宋体"/>
                <w:bCs/>
                <w:kern w:val="0"/>
                <w:sz w:val="21"/>
                <w:szCs w:val="21"/>
                <w:lang w:val="en-US" w:eastAsia="zh-CN" w:bidi="ar-SA"/>
              </w:rPr>
              <w:t>分，1500 平米以下不得分。（该项以房屋租赁合同或产权证明为准）</w:t>
            </w:r>
          </w:p>
        </w:tc>
        <w:tc>
          <w:tcPr>
            <w:tcW w:w="848" w:type="dxa"/>
            <w:noWrap w:val="0"/>
            <w:vAlign w:val="center"/>
          </w:tcPr>
          <w:p w14:paraId="30A130A9">
            <w:pPr>
              <w:jc w:val="center"/>
              <w:rPr>
                <w:rFonts w:hint="default"/>
                <w:vertAlign w:val="baseline"/>
                <w:lang w:val="en-US" w:eastAsia="zh-CN"/>
              </w:rPr>
            </w:pPr>
          </w:p>
        </w:tc>
      </w:tr>
      <w:tr w14:paraId="4C0D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338" w:type="dxa"/>
            <w:vMerge w:val="continue"/>
            <w:noWrap w:val="0"/>
            <w:vAlign w:val="center"/>
          </w:tcPr>
          <w:p w14:paraId="783FC9FA">
            <w:pPr>
              <w:jc w:val="center"/>
              <w:rPr>
                <w:rFonts w:hint="default"/>
                <w:vertAlign w:val="baseline"/>
                <w:lang w:val="en-US" w:eastAsia="zh-CN"/>
              </w:rPr>
            </w:pPr>
          </w:p>
        </w:tc>
        <w:tc>
          <w:tcPr>
            <w:tcW w:w="1461" w:type="dxa"/>
            <w:noWrap w:val="0"/>
            <w:vAlign w:val="center"/>
          </w:tcPr>
          <w:p w14:paraId="5534E615">
            <w:pPr>
              <w:jc w:val="center"/>
              <w:rPr>
                <w:rFonts w:hint="eastAsia"/>
                <w:vertAlign w:val="baseline"/>
                <w:lang w:val="en-US" w:eastAsia="zh-CN"/>
              </w:rPr>
            </w:pPr>
            <w:r>
              <w:rPr>
                <w:rFonts w:hint="eastAsia"/>
                <w:vertAlign w:val="baseline"/>
                <w:lang w:val="en-US" w:eastAsia="zh-CN"/>
              </w:rPr>
              <w:t>能力验证</w:t>
            </w:r>
          </w:p>
          <w:p w14:paraId="138A185B">
            <w:pPr>
              <w:jc w:val="center"/>
              <w:rPr>
                <w:rFonts w:hint="default"/>
                <w:vertAlign w:val="baseline"/>
                <w:lang w:val="en-US" w:eastAsia="zh-CN"/>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0分）</w:t>
            </w:r>
          </w:p>
        </w:tc>
        <w:tc>
          <w:tcPr>
            <w:tcW w:w="5532" w:type="dxa"/>
            <w:noWrap w:val="0"/>
            <w:vAlign w:val="center"/>
          </w:tcPr>
          <w:p w14:paraId="25A7F499">
            <w:pPr>
              <w:jc w:val="both"/>
              <w:rPr>
                <w:rFonts w:hint="default"/>
                <w:vertAlign w:val="baseline"/>
                <w:lang w:val="en-US" w:eastAsia="zh-CN"/>
              </w:rPr>
            </w:pPr>
            <w:r>
              <w:rPr>
                <w:rFonts w:hint="eastAsia" w:ascii="宋体" w:hAnsi="宋体" w:eastAsia="宋体" w:cs="宋体"/>
                <w:sz w:val="21"/>
                <w:szCs w:val="21"/>
              </w:rPr>
              <w:t>参加2024年河南省农业农村厅组织的农产品质量安全检测能力验证所有项目（4项），一次性全部合格得20分，4项全部参加但是有一项及以上补测合格的得1</w:t>
            </w:r>
            <w:r>
              <w:rPr>
                <w:rFonts w:hint="eastAsia" w:ascii="宋体" w:hAnsi="宋体" w:eastAsia="宋体" w:cs="宋体"/>
                <w:sz w:val="21"/>
                <w:szCs w:val="21"/>
                <w:lang w:val="en-US" w:eastAsia="zh-CN"/>
              </w:rPr>
              <w:t>5</w:t>
            </w:r>
            <w:r>
              <w:rPr>
                <w:rFonts w:hint="eastAsia" w:ascii="宋体" w:hAnsi="宋体" w:eastAsia="宋体" w:cs="宋体"/>
                <w:sz w:val="21"/>
                <w:szCs w:val="21"/>
              </w:rPr>
              <w:t>分，参加3项及以下且一次性合格的得</w:t>
            </w:r>
            <w:r>
              <w:rPr>
                <w:rFonts w:hint="eastAsia" w:ascii="宋体" w:hAnsi="宋体" w:eastAsia="宋体" w:cs="宋体"/>
                <w:sz w:val="21"/>
                <w:szCs w:val="21"/>
                <w:lang w:val="en-US" w:eastAsia="zh-CN"/>
              </w:rPr>
              <w:t>10</w:t>
            </w:r>
            <w:r>
              <w:rPr>
                <w:rFonts w:hint="eastAsia" w:ascii="宋体" w:hAnsi="宋体" w:eastAsia="宋体" w:cs="宋体"/>
                <w:sz w:val="21"/>
                <w:szCs w:val="21"/>
              </w:rPr>
              <w:t>分，有一项不合格或者参加3项及以下补测合格的不得分</w:t>
            </w:r>
            <w:r>
              <w:rPr>
                <w:rFonts w:hint="eastAsia" w:ascii="宋体" w:hAnsi="宋体" w:eastAsia="宋体" w:cs="宋体"/>
                <w:sz w:val="21"/>
                <w:szCs w:val="21"/>
                <w:lang w:eastAsia="zh-CN"/>
              </w:rPr>
              <w:t>。</w:t>
            </w:r>
            <w:r>
              <w:rPr>
                <w:rFonts w:hint="eastAsia" w:ascii="宋体" w:hAnsi="宋体" w:eastAsia="宋体" w:cs="宋体"/>
                <w:bCs/>
                <w:color w:val="auto"/>
                <w:kern w:val="0"/>
                <w:sz w:val="21"/>
                <w:szCs w:val="21"/>
                <w:lang w:val="en-US" w:eastAsia="zh-CN" w:bidi="ar-SA"/>
              </w:rPr>
              <w:t xml:space="preserve">（以河南省农业农村厅关于2024年农产品质量安全检测技术能力验证结果的通报文件中能力验证结果一览表为准，响应文件中附能力验证结果一览表扫描件，资质虚报者本项为 </w:t>
            </w:r>
            <w:r>
              <w:rPr>
                <w:rFonts w:hint="eastAsia" w:ascii="宋体" w:hAnsi="宋体" w:eastAsia="宋体" w:cs="宋体"/>
                <w:bCs/>
                <w:kern w:val="0"/>
                <w:sz w:val="21"/>
                <w:szCs w:val="21"/>
                <w:lang w:val="en-US" w:eastAsia="zh-CN" w:bidi="ar-SA"/>
              </w:rPr>
              <w:t>0 分。）</w:t>
            </w:r>
          </w:p>
        </w:tc>
        <w:tc>
          <w:tcPr>
            <w:tcW w:w="848" w:type="dxa"/>
            <w:noWrap w:val="0"/>
            <w:vAlign w:val="center"/>
          </w:tcPr>
          <w:p w14:paraId="724C1F32">
            <w:pPr>
              <w:jc w:val="center"/>
              <w:rPr>
                <w:rFonts w:hint="default"/>
                <w:vertAlign w:val="baseline"/>
                <w:lang w:val="en-US" w:eastAsia="zh-CN"/>
              </w:rPr>
            </w:pPr>
          </w:p>
        </w:tc>
      </w:tr>
      <w:tr w14:paraId="587F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338" w:type="dxa"/>
            <w:vMerge w:val="continue"/>
            <w:noWrap w:val="0"/>
            <w:vAlign w:val="center"/>
          </w:tcPr>
          <w:p w14:paraId="0D4A85E1">
            <w:pPr>
              <w:jc w:val="center"/>
              <w:rPr>
                <w:rFonts w:hint="default"/>
                <w:vertAlign w:val="baseline"/>
                <w:lang w:val="en-US" w:eastAsia="zh-CN"/>
              </w:rPr>
            </w:pPr>
          </w:p>
        </w:tc>
        <w:tc>
          <w:tcPr>
            <w:tcW w:w="1461" w:type="dxa"/>
            <w:noWrap w:val="0"/>
            <w:vAlign w:val="center"/>
          </w:tcPr>
          <w:p w14:paraId="0BB94A32">
            <w:pPr>
              <w:jc w:val="center"/>
              <w:rPr>
                <w:rFonts w:hint="eastAsia"/>
                <w:vertAlign w:val="baseline"/>
                <w:lang w:val="en-US" w:eastAsia="zh-CN"/>
              </w:rPr>
            </w:pPr>
            <w:r>
              <w:rPr>
                <w:rFonts w:hint="eastAsia"/>
                <w:vertAlign w:val="baseline"/>
                <w:lang w:val="en-US" w:eastAsia="zh-CN"/>
              </w:rPr>
              <w:t>以往业绩</w:t>
            </w:r>
          </w:p>
          <w:p w14:paraId="77C444E5">
            <w:pPr>
              <w:pStyle w:val="2"/>
              <w:ind w:left="0" w:leftChars="0" w:firstLine="0" w:firstLineChars="0"/>
              <w:jc w:val="center"/>
              <w:rPr>
                <w:rFonts w:hint="default"/>
                <w:lang w:val="en-US" w:eastAsia="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0分）</w:t>
            </w:r>
          </w:p>
        </w:tc>
        <w:tc>
          <w:tcPr>
            <w:tcW w:w="5532" w:type="dxa"/>
            <w:noWrap w:val="0"/>
            <w:vAlign w:val="center"/>
          </w:tcPr>
          <w:p w14:paraId="00567F63">
            <w:pPr>
              <w:pStyle w:val="6"/>
              <w:snapToGrid w:val="0"/>
              <w:spacing w:after="0"/>
              <w:ind w:left="0" w:leftChars="0" w:firstLine="0" w:firstLineChars="0"/>
              <w:rPr>
                <w:rFonts w:hint="default"/>
                <w:vertAlign w:val="baseline"/>
                <w:lang w:val="en-US" w:eastAsia="zh-CN"/>
              </w:rPr>
            </w:pPr>
            <w:r>
              <w:rPr>
                <w:rFonts w:hint="eastAsia" w:ascii="宋体" w:hAnsi="宋体" w:eastAsia="宋体" w:cs="宋体"/>
                <w:bCs/>
                <w:color w:val="auto"/>
                <w:kern w:val="0"/>
                <w:sz w:val="21"/>
                <w:szCs w:val="21"/>
              </w:rPr>
              <w:t>20</w:t>
            </w:r>
            <w:r>
              <w:rPr>
                <w:rFonts w:hint="eastAsia" w:ascii="宋体" w:hAnsi="宋体" w:eastAsia="宋体" w:cs="宋体"/>
                <w:bCs/>
                <w:color w:val="auto"/>
                <w:kern w:val="0"/>
                <w:sz w:val="21"/>
                <w:szCs w:val="21"/>
                <w:lang w:val="en-US" w:eastAsia="zh-CN"/>
              </w:rPr>
              <w:t>23</w:t>
            </w:r>
            <w:r>
              <w:rPr>
                <w:rFonts w:hint="eastAsia" w:ascii="宋体" w:hAnsi="宋体" w:eastAsia="宋体" w:cs="宋体"/>
                <w:bCs/>
                <w:color w:val="auto"/>
                <w:kern w:val="0"/>
                <w:sz w:val="21"/>
                <w:szCs w:val="21"/>
              </w:rPr>
              <w:t>年1月1日以来供应商完成过的类似项目（</w:t>
            </w:r>
            <w:r>
              <w:rPr>
                <w:rFonts w:hint="eastAsia" w:ascii="宋体" w:hAnsi="宋体" w:eastAsia="宋体" w:cs="宋体"/>
                <w:bCs/>
                <w:kern w:val="0"/>
                <w:sz w:val="21"/>
                <w:szCs w:val="21"/>
                <w:lang w:val="en-US" w:eastAsia="zh-CN"/>
              </w:rPr>
              <w:t>农产品</w:t>
            </w:r>
            <w:r>
              <w:rPr>
                <w:rFonts w:hint="eastAsia" w:ascii="宋体" w:hAnsi="宋体" w:eastAsia="宋体" w:cs="宋体"/>
                <w:bCs/>
                <w:kern w:val="0"/>
                <w:sz w:val="21"/>
                <w:szCs w:val="21"/>
              </w:rPr>
              <w:t>检测）业绩。每提供一份业绩的得</w:t>
            </w:r>
            <w:r>
              <w:rPr>
                <w:rFonts w:hint="eastAsia" w:ascii="宋体" w:hAnsi="宋体" w:eastAsia="宋体" w:cs="宋体"/>
                <w:bCs/>
                <w:kern w:val="0"/>
                <w:sz w:val="21"/>
                <w:szCs w:val="21"/>
                <w:lang w:val="en-US" w:eastAsia="zh-CN"/>
              </w:rPr>
              <w:t>5</w:t>
            </w:r>
            <w:r>
              <w:rPr>
                <w:rFonts w:hint="eastAsia" w:ascii="宋体" w:hAnsi="宋体" w:eastAsia="宋体" w:cs="宋体"/>
                <w:bCs/>
                <w:kern w:val="0"/>
                <w:sz w:val="21"/>
                <w:szCs w:val="21"/>
              </w:rPr>
              <w:t>分，最多得</w:t>
            </w:r>
            <w:r>
              <w:rPr>
                <w:rFonts w:hint="eastAsia" w:ascii="宋体" w:hAnsi="宋体" w:eastAsia="宋体" w:cs="宋体"/>
                <w:bCs/>
                <w:kern w:val="0"/>
                <w:sz w:val="21"/>
                <w:szCs w:val="21"/>
                <w:lang w:val="en-US" w:eastAsia="zh-CN"/>
              </w:rPr>
              <w:t>10</w:t>
            </w:r>
            <w:r>
              <w:rPr>
                <w:rFonts w:hint="eastAsia" w:ascii="宋体" w:hAnsi="宋体" w:eastAsia="宋体" w:cs="宋体"/>
                <w:bCs/>
                <w:kern w:val="0"/>
                <w:sz w:val="21"/>
                <w:szCs w:val="21"/>
              </w:rPr>
              <w:t>分。</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响应文件中应附业绩</w:t>
            </w:r>
            <w:r>
              <w:rPr>
                <w:rFonts w:hint="eastAsia" w:ascii="宋体" w:hAnsi="宋体" w:eastAsia="宋体" w:cs="宋体"/>
                <w:bCs/>
                <w:kern w:val="0"/>
                <w:sz w:val="21"/>
                <w:szCs w:val="21"/>
                <w:lang w:val="en-US" w:eastAsia="zh-CN"/>
              </w:rPr>
              <w:t>中标截图、中标通知书、</w:t>
            </w:r>
            <w:r>
              <w:rPr>
                <w:rFonts w:hint="eastAsia" w:ascii="宋体" w:hAnsi="宋体" w:eastAsia="宋体" w:cs="宋体"/>
                <w:bCs/>
                <w:kern w:val="0"/>
                <w:sz w:val="21"/>
                <w:szCs w:val="21"/>
              </w:rPr>
              <w:t>合同复印件并加盖单位公章，否则不得分。</w:t>
            </w:r>
            <w:r>
              <w:rPr>
                <w:rFonts w:hint="eastAsia" w:ascii="宋体" w:hAnsi="宋体" w:eastAsia="宋体" w:cs="宋体"/>
                <w:bCs/>
                <w:kern w:val="0"/>
                <w:sz w:val="21"/>
                <w:szCs w:val="21"/>
                <w:lang w:eastAsia="zh-CN"/>
              </w:rPr>
              <w:t>）</w:t>
            </w:r>
          </w:p>
        </w:tc>
        <w:tc>
          <w:tcPr>
            <w:tcW w:w="848" w:type="dxa"/>
            <w:noWrap w:val="0"/>
            <w:vAlign w:val="center"/>
          </w:tcPr>
          <w:p w14:paraId="65D29513">
            <w:pPr>
              <w:jc w:val="center"/>
              <w:rPr>
                <w:rFonts w:hint="default"/>
                <w:vertAlign w:val="baseline"/>
                <w:lang w:val="en-US" w:eastAsia="zh-CN"/>
              </w:rPr>
            </w:pPr>
          </w:p>
        </w:tc>
      </w:tr>
    </w:tbl>
    <w:p w14:paraId="5E97518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1" w:fontKey="{415B15F7-2B58-45FD-851E-56ED09C0951E}"/>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4D41056E-102B-426C-98DA-F51AC728D2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84C55"/>
    <w:rsid w:val="6B38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3">
    <w:name w:val="Body Text"/>
    <w:basedOn w:val="1"/>
    <w:next w:val="4"/>
    <w:qFormat/>
    <w:uiPriority w:val="99"/>
    <w:pPr>
      <w:spacing w:after="120"/>
    </w:pPr>
    <w:rPr>
      <w:rFonts w:ascii="Times New Roman" w:hAnsi="Times New Roman"/>
      <w:szCs w:val="24"/>
    </w:rPr>
  </w:style>
  <w:style w:type="paragraph" w:customStyle="1" w:styleId="4">
    <w:name w:val="style4"/>
    <w:basedOn w:val="1"/>
    <w:next w:val="5"/>
    <w:qFormat/>
    <w:uiPriority w:val="0"/>
    <w:pPr>
      <w:widowControl/>
      <w:spacing w:before="280" w:after="280"/>
    </w:pPr>
    <w:rPr>
      <w:rFonts w:ascii="宋体" w:eastAsia="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w:basedOn w:val="3"/>
    <w:next w:val="1"/>
    <w:qFormat/>
    <w:uiPriority w:val="99"/>
    <w:pPr>
      <w:ind w:firstLine="420" w:firstLineChars="100"/>
    </w:pPr>
    <w:rPr>
      <w:szCs w:val="2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2025-04-28T00:21:00Z</dcterms:created>
  <dc:creator>Mangbor</dc:creator>
  <cp:lastModifiedBy>Mangbor</cp:lastModifiedBy>
  <dcterms:modified xsi:type="dcterms:W3CDTF">2025-04-28T00:23:24Z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D5217ADE564A4EBB914356EA5116D861_11</vt:lpwstr>
  </property>
  <property fmtid="{D5CDD505-2E9C-101B-9397-08002B2CF9AE}" pid="4" name="KSOTemplateDocerSaveRecord">
    <vt:lpwstr>eyJoZGlkIjoiNWVkMGJkMzE4N2U2OGUyNzFlZWQ5ZWM2OGMyNDM1NDAiLCJ1c2VySWQiOiIzNTk2NDkwNzMifQ==</vt:lpwstr>
  </property>
</Properties>
</file>