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CB6FF">
      <w:pPr>
        <w:snapToGrid w:val="0"/>
        <w:spacing w:line="52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05411AC5">
      <w:pPr>
        <w:jc w:val="center"/>
        <w:rPr>
          <w:rFonts w:hint="default"/>
          <w:vertAlign w:val="baseline"/>
          <w:lang w:val="en-US" w:eastAsia="zh-CN"/>
        </w:rPr>
      </w:pPr>
      <w:bookmarkStart w:id="0" w:name="_GoBack"/>
      <w:r>
        <w:rPr>
          <w:rFonts w:hint="eastAsia" w:ascii="方正小标宋简体" w:hAnsi="方正小标宋简体" w:eastAsia="方正小标宋简体" w:cs="方正小标宋简体"/>
          <w:b/>
          <w:color w:val="000000"/>
          <w:sz w:val="44"/>
          <w:szCs w:val="44"/>
        </w:rPr>
        <w:t>评</w:t>
      </w:r>
      <w:r>
        <w:rPr>
          <w:rFonts w:hint="eastAsia" w:ascii="方正小标宋简体" w:hAnsi="方正小标宋简体" w:eastAsia="方正小标宋简体" w:cs="方正小标宋简体"/>
          <w:b/>
          <w:color w:val="000000"/>
          <w:sz w:val="44"/>
          <w:szCs w:val="44"/>
          <w:lang w:eastAsia="zh-CN"/>
        </w:rPr>
        <w:t>价</w:t>
      </w:r>
      <w:r>
        <w:rPr>
          <w:rFonts w:hint="eastAsia" w:ascii="方正小标宋简体" w:hAnsi="方正小标宋简体" w:eastAsia="方正小标宋简体" w:cs="方正小标宋简体"/>
          <w:b/>
          <w:color w:val="000000"/>
          <w:sz w:val="44"/>
          <w:szCs w:val="44"/>
        </w:rPr>
        <w:t>办法</w:t>
      </w:r>
    </w:p>
    <w:bookmarkEnd w:id="0"/>
    <w:tbl>
      <w:tblPr>
        <w:tblStyle w:val="8"/>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61"/>
        <w:gridCol w:w="5532"/>
        <w:gridCol w:w="848"/>
      </w:tblGrid>
      <w:tr w14:paraId="306F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38" w:type="dxa"/>
            <w:noWrap w:val="0"/>
            <w:vAlign w:val="center"/>
          </w:tcPr>
          <w:p w14:paraId="32B754FE">
            <w:pPr>
              <w:widowControl/>
              <w:spacing w:line="360" w:lineRule="auto"/>
              <w:jc w:val="center"/>
              <w:rPr>
                <w:rFonts w:hint="eastAsia" w:ascii="方正公文小标宋" w:hAnsi="方正公文小标宋" w:eastAsia="方正公文小标宋" w:cs="方正公文小标宋"/>
                <w:sz w:val="28"/>
                <w:szCs w:val="28"/>
                <w:vertAlign w:val="baseline"/>
                <w:lang w:val="en-US" w:eastAsia="zh-CN"/>
              </w:rPr>
            </w:pPr>
            <w:r>
              <w:rPr>
                <w:rFonts w:hint="eastAsia" w:ascii="方正公文小标宋" w:hAnsi="方正公文小标宋" w:eastAsia="方正公文小标宋" w:cs="方正公文小标宋"/>
                <w:b/>
                <w:bCs/>
                <w:sz w:val="28"/>
                <w:szCs w:val="28"/>
              </w:rPr>
              <w:t>评审项</w:t>
            </w:r>
          </w:p>
        </w:tc>
        <w:tc>
          <w:tcPr>
            <w:tcW w:w="1461" w:type="dxa"/>
            <w:noWrap w:val="0"/>
            <w:vAlign w:val="center"/>
          </w:tcPr>
          <w:p w14:paraId="34B825EA">
            <w:pPr>
              <w:widowControl/>
              <w:spacing w:line="360" w:lineRule="auto"/>
              <w:jc w:val="center"/>
              <w:rPr>
                <w:rFonts w:hint="eastAsia" w:ascii="方正公文小标宋" w:hAnsi="方正公文小标宋" w:eastAsia="方正公文小标宋" w:cs="方正公文小标宋"/>
                <w:sz w:val="28"/>
                <w:szCs w:val="28"/>
                <w:vertAlign w:val="baseline"/>
                <w:lang w:val="en-US" w:eastAsia="zh-CN"/>
              </w:rPr>
            </w:pPr>
            <w:r>
              <w:rPr>
                <w:rFonts w:hint="eastAsia" w:ascii="方正公文小标宋" w:hAnsi="方正公文小标宋" w:eastAsia="方正公文小标宋" w:cs="方正公文小标宋"/>
                <w:b/>
                <w:bCs/>
                <w:sz w:val="28"/>
                <w:szCs w:val="28"/>
              </w:rPr>
              <w:t>评分因素</w:t>
            </w:r>
          </w:p>
        </w:tc>
        <w:tc>
          <w:tcPr>
            <w:tcW w:w="5532" w:type="dxa"/>
            <w:noWrap w:val="0"/>
            <w:vAlign w:val="center"/>
          </w:tcPr>
          <w:p w14:paraId="222ADEA0">
            <w:pPr>
              <w:widowControl/>
              <w:spacing w:line="360" w:lineRule="auto"/>
              <w:jc w:val="center"/>
              <w:rPr>
                <w:rFonts w:hint="eastAsia" w:ascii="方正公文小标宋" w:hAnsi="方正公文小标宋" w:eastAsia="方正公文小标宋" w:cs="方正公文小标宋"/>
                <w:sz w:val="28"/>
                <w:szCs w:val="28"/>
                <w:vertAlign w:val="baseline"/>
                <w:lang w:val="en-US" w:eastAsia="zh-CN"/>
              </w:rPr>
            </w:pPr>
            <w:r>
              <w:rPr>
                <w:rFonts w:hint="eastAsia" w:ascii="方正公文小标宋" w:hAnsi="方正公文小标宋" w:eastAsia="方正公文小标宋" w:cs="方正公文小标宋"/>
                <w:b/>
                <w:bCs/>
                <w:sz w:val="28"/>
                <w:szCs w:val="28"/>
              </w:rPr>
              <w:t>评</w:t>
            </w:r>
            <w:r>
              <w:rPr>
                <w:rFonts w:hint="eastAsia" w:ascii="方正公文小标宋" w:hAnsi="方正公文小标宋" w:eastAsia="方正公文小标宋" w:cs="方正公文小标宋"/>
                <w:b/>
                <w:bCs/>
                <w:sz w:val="28"/>
                <w:szCs w:val="28"/>
                <w:lang w:eastAsia="zh-CN"/>
              </w:rPr>
              <w:t>价</w:t>
            </w:r>
            <w:r>
              <w:rPr>
                <w:rFonts w:hint="eastAsia" w:ascii="方正公文小标宋" w:hAnsi="方正公文小标宋" w:eastAsia="方正公文小标宋" w:cs="方正公文小标宋"/>
                <w:b/>
                <w:bCs/>
                <w:sz w:val="28"/>
                <w:szCs w:val="28"/>
              </w:rPr>
              <w:t>标准</w:t>
            </w:r>
          </w:p>
        </w:tc>
        <w:tc>
          <w:tcPr>
            <w:tcW w:w="848" w:type="dxa"/>
            <w:noWrap w:val="0"/>
            <w:vAlign w:val="center"/>
          </w:tcPr>
          <w:p w14:paraId="71D622DE">
            <w:pPr>
              <w:jc w:val="center"/>
              <w:rPr>
                <w:rFonts w:hint="eastAsia" w:ascii="方正公文小标宋" w:hAnsi="方正公文小标宋" w:eastAsia="方正公文小标宋" w:cs="方正公文小标宋"/>
                <w:sz w:val="28"/>
                <w:szCs w:val="28"/>
                <w:vertAlign w:val="baseline"/>
                <w:lang w:val="en-US" w:eastAsia="zh-CN"/>
              </w:rPr>
            </w:pPr>
            <w:r>
              <w:rPr>
                <w:rFonts w:hint="eastAsia" w:ascii="方正公文小标宋" w:hAnsi="方正公文小标宋" w:eastAsia="方正公文小标宋" w:cs="方正公文小标宋"/>
                <w:sz w:val="28"/>
                <w:szCs w:val="28"/>
                <w:vertAlign w:val="baseline"/>
                <w:lang w:val="en-US" w:eastAsia="zh-CN"/>
              </w:rPr>
              <w:t>备注</w:t>
            </w:r>
          </w:p>
        </w:tc>
      </w:tr>
      <w:tr w14:paraId="1E5F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799" w:type="dxa"/>
            <w:gridSpan w:val="2"/>
            <w:noWrap w:val="0"/>
            <w:vAlign w:val="center"/>
          </w:tcPr>
          <w:p w14:paraId="32C3FDEB">
            <w:pPr>
              <w:jc w:val="center"/>
              <w:rPr>
                <w:rFonts w:hint="eastAsia"/>
                <w:vertAlign w:val="baseline"/>
                <w:lang w:val="en-US" w:eastAsia="zh-CN"/>
              </w:rPr>
            </w:pPr>
            <w:r>
              <w:rPr>
                <w:rFonts w:hint="eastAsia"/>
                <w:vertAlign w:val="baseline"/>
                <w:lang w:val="en-US" w:eastAsia="zh-CN"/>
              </w:rPr>
              <w:t>分值构成</w:t>
            </w:r>
          </w:p>
          <w:p w14:paraId="0F761CD0">
            <w:pPr>
              <w:jc w:val="center"/>
              <w:rPr>
                <w:rFonts w:hint="default"/>
                <w:vertAlign w:val="baseline"/>
                <w:lang w:val="en-US" w:eastAsia="zh-CN"/>
              </w:rPr>
            </w:pPr>
            <w:r>
              <w:rPr>
                <w:rFonts w:hint="eastAsia"/>
                <w:vertAlign w:val="baseline"/>
                <w:lang w:val="en-US" w:eastAsia="zh-CN"/>
              </w:rPr>
              <w:t>（总分100分）</w:t>
            </w:r>
          </w:p>
        </w:tc>
        <w:tc>
          <w:tcPr>
            <w:tcW w:w="5532" w:type="dxa"/>
            <w:noWrap w:val="0"/>
            <w:vAlign w:val="center"/>
          </w:tcPr>
          <w:p w14:paraId="178DD5AE">
            <w:pPr>
              <w:pStyle w:val="6"/>
              <w:snapToGrid w:val="0"/>
              <w:spacing w:after="0"/>
              <w:ind w:left="0" w:leftChars="0" w:firstLine="0" w:firstLineChars="0"/>
              <w:jc w:val="center"/>
              <w:rPr>
                <w:rFonts w:hint="eastAsia" w:ascii="宋体" w:hAnsi="宋体" w:eastAsia="宋体" w:cs="宋体"/>
                <w:bCs/>
                <w:kern w:val="0"/>
                <w:sz w:val="21"/>
                <w:szCs w:val="21"/>
              </w:rPr>
            </w:pPr>
            <w:r>
              <w:rPr>
                <w:rFonts w:hint="eastAsia" w:ascii="宋体" w:hAnsi="宋体" w:eastAsia="宋体" w:cs="宋体"/>
                <w:bCs/>
                <w:kern w:val="0"/>
                <w:sz w:val="21"/>
                <w:szCs w:val="21"/>
              </w:rPr>
              <w:t>报价部分：</w:t>
            </w:r>
            <w:r>
              <w:rPr>
                <w:rFonts w:hint="eastAsia" w:ascii="宋体" w:hAnsi="宋体" w:eastAsia="宋体" w:cs="宋体"/>
                <w:bCs/>
                <w:kern w:val="0"/>
                <w:sz w:val="21"/>
                <w:szCs w:val="21"/>
                <w:lang w:val="en-US" w:eastAsia="zh-CN"/>
              </w:rPr>
              <w:t>10</w:t>
            </w:r>
            <w:r>
              <w:rPr>
                <w:rFonts w:hint="eastAsia" w:ascii="宋体" w:hAnsi="宋体" w:eastAsia="宋体" w:cs="宋体"/>
                <w:bCs/>
                <w:kern w:val="0"/>
                <w:sz w:val="21"/>
                <w:szCs w:val="21"/>
              </w:rPr>
              <w:t>分</w:t>
            </w:r>
          </w:p>
          <w:p w14:paraId="56D0563C">
            <w:pPr>
              <w:jc w:val="center"/>
              <w:rPr>
                <w:rFonts w:hint="default"/>
                <w:vertAlign w:val="baseline"/>
                <w:lang w:val="en-US" w:eastAsia="zh-CN"/>
              </w:rPr>
            </w:pPr>
            <w:r>
              <w:rPr>
                <w:rFonts w:hint="eastAsia" w:ascii="宋体" w:hAnsi="宋体" w:eastAsia="宋体" w:cs="宋体"/>
                <w:bCs/>
                <w:kern w:val="0"/>
                <w:sz w:val="21"/>
                <w:szCs w:val="21"/>
              </w:rPr>
              <w:t>综合部分：</w:t>
            </w:r>
            <w:r>
              <w:rPr>
                <w:rFonts w:hint="eastAsia" w:ascii="宋体" w:hAnsi="宋体" w:eastAsia="宋体" w:cs="宋体"/>
                <w:bCs/>
                <w:kern w:val="0"/>
                <w:sz w:val="21"/>
                <w:szCs w:val="21"/>
                <w:lang w:val="en-US" w:eastAsia="zh-CN"/>
              </w:rPr>
              <w:t>90</w:t>
            </w:r>
            <w:r>
              <w:rPr>
                <w:rFonts w:hint="eastAsia" w:ascii="宋体" w:hAnsi="宋体" w:eastAsia="宋体" w:cs="宋体"/>
                <w:bCs/>
                <w:kern w:val="0"/>
                <w:sz w:val="21"/>
                <w:szCs w:val="21"/>
              </w:rPr>
              <w:t>分</w:t>
            </w:r>
          </w:p>
        </w:tc>
        <w:tc>
          <w:tcPr>
            <w:tcW w:w="848" w:type="dxa"/>
            <w:noWrap w:val="0"/>
            <w:vAlign w:val="center"/>
          </w:tcPr>
          <w:p w14:paraId="55AFB1FC">
            <w:pPr>
              <w:jc w:val="center"/>
              <w:rPr>
                <w:rFonts w:hint="default"/>
                <w:vertAlign w:val="baseline"/>
                <w:lang w:val="en-US" w:eastAsia="zh-CN"/>
              </w:rPr>
            </w:pPr>
          </w:p>
        </w:tc>
      </w:tr>
      <w:tr w14:paraId="1E9F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338" w:type="dxa"/>
            <w:noWrap w:val="0"/>
            <w:vAlign w:val="center"/>
          </w:tcPr>
          <w:p w14:paraId="10B516AE">
            <w:pPr>
              <w:jc w:val="center"/>
              <w:rPr>
                <w:rFonts w:hint="default"/>
                <w:vertAlign w:val="baseline"/>
                <w:lang w:val="en-US" w:eastAsia="zh-CN"/>
              </w:rPr>
            </w:pPr>
            <w:r>
              <w:rPr>
                <w:rFonts w:hint="eastAsia"/>
                <w:vertAlign w:val="baseline"/>
                <w:lang w:val="en-US" w:eastAsia="zh-CN"/>
              </w:rPr>
              <w:t>报价部分</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0分）</w:t>
            </w:r>
          </w:p>
        </w:tc>
        <w:tc>
          <w:tcPr>
            <w:tcW w:w="1461" w:type="dxa"/>
            <w:noWrap w:val="0"/>
            <w:vAlign w:val="center"/>
          </w:tcPr>
          <w:p w14:paraId="6EB485CF">
            <w:pPr>
              <w:jc w:val="center"/>
              <w:rPr>
                <w:rFonts w:hint="eastAsia"/>
                <w:vertAlign w:val="baseline"/>
                <w:lang w:val="en-US" w:eastAsia="zh-CN"/>
              </w:rPr>
            </w:pPr>
            <w:r>
              <w:rPr>
                <w:rFonts w:hint="eastAsia"/>
                <w:vertAlign w:val="baseline"/>
                <w:lang w:val="en-US" w:eastAsia="zh-CN"/>
              </w:rPr>
              <w:t>投标价格</w:t>
            </w:r>
          </w:p>
          <w:p w14:paraId="4E2DD815">
            <w:pPr>
              <w:jc w:val="center"/>
              <w:rPr>
                <w:rFonts w:hint="default"/>
                <w:vertAlign w:val="baseline"/>
                <w:lang w:val="en-US" w:eastAsia="zh-CN"/>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0分）</w:t>
            </w:r>
          </w:p>
        </w:tc>
        <w:tc>
          <w:tcPr>
            <w:tcW w:w="5532" w:type="dxa"/>
            <w:noWrap w:val="0"/>
            <w:vAlign w:val="center"/>
          </w:tcPr>
          <w:p w14:paraId="34D3CBC7">
            <w:pPr>
              <w:jc w:val="both"/>
              <w:rPr>
                <w:rFonts w:hint="default"/>
                <w:vertAlign w:val="baseline"/>
                <w:lang w:val="en-US" w:eastAsia="zh-CN"/>
              </w:rPr>
            </w:pPr>
            <w:r>
              <w:rPr>
                <w:rFonts w:hint="eastAsia" w:ascii="宋体" w:hAnsi="宋体" w:eastAsia="宋体" w:cs="宋体"/>
                <w:kern w:val="0"/>
                <w:sz w:val="21"/>
                <w:szCs w:val="21"/>
                <w:highlight w:val="none"/>
              </w:rPr>
              <w:t>满足采购文件要求且</w:t>
            </w:r>
            <w:r>
              <w:rPr>
                <w:rFonts w:hint="eastAsia" w:ascii="宋体" w:hAnsi="宋体" w:cs="宋体"/>
                <w:kern w:val="0"/>
                <w:sz w:val="21"/>
                <w:szCs w:val="21"/>
                <w:highlight w:val="none"/>
                <w:lang w:val="en-US" w:eastAsia="zh-CN"/>
              </w:rPr>
              <w:t>总价</w:t>
            </w:r>
            <w:r>
              <w:rPr>
                <w:rFonts w:hint="eastAsia" w:ascii="宋体" w:hAnsi="宋体" w:eastAsia="宋体" w:cs="宋体"/>
                <w:kern w:val="0"/>
                <w:sz w:val="21"/>
                <w:szCs w:val="21"/>
                <w:highlight w:val="none"/>
              </w:rPr>
              <w:t>最低的报价为评审基准价</w:t>
            </w:r>
            <w:r>
              <w:rPr>
                <w:rFonts w:hint="eastAsia" w:ascii="宋体" w:hAnsi="宋体" w:eastAsia="宋体" w:cs="宋体"/>
                <w:color w:val="000000"/>
                <w:sz w:val="21"/>
                <w:szCs w:val="21"/>
                <w:highlight w:val="none"/>
              </w:rPr>
              <w:t>，其价格分为满分。其他投标人的价格分统一按照下列公式计算：投标报价得分=(</w:t>
            </w:r>
            <w:r>
              <w:rPr>
                <w:rFonts w:hint="eastAsia" w:ascii="宋体" w:hAnsi="宋体" w:cs="宋体"/>
                <w:color w:val="000000"/>
                <w:sz w:val="21"/>
                <w:szCs w:val="21"/>
                <w:highlight w:val="none"/>
                <w:lang w:eastAsia="zh-CN"/>
              </w:rPr>
              <w:t>投标报价</w:t>
            </w:r>
            <w:r>
              <w:rPr>
                <w:rFonts w:hint="eastAsia" w:ascii="宋体" w:hAnsi="宋体" w:eastAsia="宋体" w:cs="宋体"/>
                <w:kern w:val="0"/>
                <w:sz w:val="21"/>
                <w:szCs w:val="21"/>
              </w:rPr>
              <w:t>／评审基准价</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%×1</w:t>
            </w:r>
            <w:r>
              <w:rPr>
                <w:rFonts w:hint="eastAsia" w:ascii="宋体" w:hAnsi="宋体" w:eastAsia="宋体" w:cs="宋体"/>
                <w:kern w:val="0"/>
                <w:szCs w:val="21"/>
              </w:rPr>
              <w:t>00 </w:t>
            </w:r>
          </w:p>
        </w:tc>
        <w:tc>
          <w:tcPr>
            <w:tcW w:w="848" w:type="dxa"/>
            <w:noWrap w:val="0"/>
            <w:vAlign w:val="center"/>
          </w:tcPr>
          <w:p w14:paraId="1BCC369B">
            <w:pPr>
              <w:jc w:val="center"/>
              <w:rPr>
                <w:rFonts w:hint="default"/>
                <w:vertAlign w:val="baseline"/>
                <w:lang w:val="en-US" w:eastAsia="zh-CN"/>
              </w:rPr>
            </w:pPr>
          </w:p>
        </w:tc>
      </w:tr>
      <w:tr w14:paraId="3F04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338" w:type="dxa"/>
            <w:vMerge w:val="restart"/>
            <w:noWrap w:val="0"/>
            <w:vAlign w:val="center"/>
          </w:tcPr>
          <w:p w14:paraId="3630B429">
            <w:pPr>
              <w:jc w:val="center"/>
              <w:rPr>
                <w:rFonts w:hint="eastAsia" w:ascii="宋体" w:hAnsi="宋体" w:eastAsia="宋体" w:cs="宋体"/>
                <w:bCs/>
                <w:kern w:val="0"/>
                <w:sz w:val="21"/>
                <w:szCs w:val="21"/>
              </w:rPr>
            </w:pPr>
            <w:r>
              <w:rPr>
                <w:rFonts w:hint="eastAsia" w:ascii="宋体" w:hAnsi="宋体" w:eastAsia="宋体" w:cs="宋体"/>
                <w:bCs/>
                <w:kern w:val="0"/>
                <w:sz w:val="21"/>
                <w:szCs w:val="21"/>
              </w:rPr>
              <w:t>综合部分</w:t>
            </w:r>
          </w:p>
          <w:p w14:paraId="563A0026">
            <w:pPr>
              <w:pStyle w:val="2"/>
              <w:ind w:left="0" w:leftChars="0" w:firstLine="0" w:firstLineChars="0"/>
              <w:jc w:val="center"/>
              <w:rPr>
                <w:rFonts w:hint="eastAsia" w:eastAsia="宋体"/>
                <w:lang w:val="en-US" w:eastAsia="zh-CN"/>
              </w:rPr>
            </w:pP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90分</w:t>
            </w:r>
            <w:r>
              <w:rPr>
                <w:rFonts w:hint="eastAsia" w:ascii="宋体" w:hAnsi="宋体" w:eastAsia="宋体" w:cs="宋体"/>
                <w:bCs/>
                <w:kern w:val="0"/>
                <w:sz w:val="21"/>
                <w:szCs w:val="21"/>
                <w:lang w:eastAsia="zh-CN"/>
              </w:rPr>
              <w:t>）</w:t>
            </w:r>
          </w:p>
        </w:tc>
        <w:tc>
          <w:tcPr>
            <w:tcW w:w="1461" w:type="dxa"/>
            <w:noWrap w:val="0"/>
            <w:vAlign w:val="center"/>
          </w:tcPr>
          <w:p w14:paraId="2EEFE180">
            <w:pPr>
              <w:jc w:val="center"/>
              <w:rPr>
                <w:rFonts w:hint="eastAsia"/>
                <w:vertAlign w:val="baseline"/>
                <w:lang w:val="en-US" w:eastAsia="zh-CN"/>
              </w:rPr>
            </w:pPr>
            <w:r>
              <w:rPr>
                <w:rFonts w:hint="eastAsia"/>
                <w:vertAlign w:val="baseline"/>
                <w:lang w:val="en-US" w:eastAsia="zh-CN"/>
              </w:rPr>
              <w:t>检测资质</w:t>
            </w:r>
          </w:p>
          <w:p w14:paraId="2A33DC3F">
            <w:pPr>
              <w:jc w:val="center"/>
              <w:rPr>
                <w:rFonts w:hint="default"/>
                <w:vertAlign w:val="baseline"/>
                <w:lang w:val="en-US" w:eastAsia="zh-CN"/>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0分）</w:t>
            </w:r>
          </w:p>
        </w:tc>
        <w:tc>
          <w:tcPr>
            <w:tcW w:w="5532" w:type="dxa"/>
            <w:noWrap w:val="0"/>
            <w:vAlign w:val="center"/>
          </w:tcPr>
          <w:p w14:paraId="67E22740">
            <w:pPr>
              <w:jc w:val="both"/>
              <w:rPr>
                <w:rFonts w:hint="default"/>
                <w:vertAlign w:val="baseline"/>
                <w:lang w:val="en-US" w:eastAsia="zh-CN"/>
              </w:rPr>
            </w:pPr>
            <w:r>
              <w:rPr>
                <w:rFonts w:hint="default"/>
                <w:vertAlign w:val="baseline"/>
                <w:lang w:val="en-US" w:eastAsia="zh-CN"/>
              </w:rPr>
              <w:t>具备CMA（计量认证）、CA</w:t>
            </w:r>
            <w:r>
              <w:rPr>
                <w:rFonts w:hint="eastAsia"/>
                <w:vertAlign w:val="baseline"/>
                <w:lang w:val="en-US" w:eastAsia="zh-CN"/>
              </w:rPr>
              <w:t>TL</w:t>
            </w:r>
            <w:r>
              <w:rPr>
                <w:rFonts w:hint="default"/>
                <w:vertAlign w:val="baseline"/>
                <w:lang w:val="en-US" w:eastAsia="zh-CN"/>
              </w:rPr>
              <w:t>（实验室</w:t>
            </w:r>
            <w:r>
              <w:rPr>
                <w:rFonts w:hint="eastAsia"/>
                <w:vertAlign w:val="baseline"/>
                <w:lang w:val="en-US" w:eastAsia="zh-CN"/>
              </w:rPr>
              <w:t>考核合格</w:t>
            </w:r>
            <w:r>
              <w:rPr>
                <w:rFonts w:hint="default"/>
                <w:vertAlign w:val="baseline"/>
                <w:lang w:val="en-US" w:eastAsia="zh-CN"/>
              </w:rPr>
              <w:t>）资质</w:t>
            </w:r>
            <w:r>
              <w:rPr>
                <w:rFonts w:hint="eastAsia"/>
                <w:vertAlign w:val="baseline"/>
                <w:lang w:val="en-US" w:eastAsia="zh-CN"/>
              </w:rPr>
              <w:t>（有1项得5分，满分10分）。</w:t>
            </w:r>
          </w:p>
        </w:tc>
        <w:tc>
          <w:tcPr>
            <w:tcW w:w="848" w:type="dxa"/>
            <w:noWrap w:val="0"/>
            <w:vAlign w:val="center"/>
          </w:tcPr>
          <w:p w14:paraId="0C780FE2">
            <w:pPr>
              <w:jc w:val="center"/>
              <w:rPr>
                <w:rFonts w:hint="default"/>
                <w:vertAlign w:val="baseline"/>
                <w:lang w:val="en-US" w:eastAsia="zh-CN"/>
              </w:rPr>
            </w:pPr>
          </w:p>
        </w:tc>
      </w:tr>
      <w:tr w14:paraId="46C3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1338" w:type="dxa"/>
            <w:vMerge w:val="continue"/>
            <w:noWrap w:val="0"/>
            <w:vAlign w:val="center"/>
          </w:tcPr>
          <w:p w14:paraId="785ECB9C">
            <w:pPr>
              <w:jc w:val="center"/>
              <w:rPr>
                <w:rFonts w:hint="default"/>
                <w:vertAlign w:val="baseline"/>
                <w:lang w:val="en-US" w:eastAsia="zh-CN"/>
              </w:rPr>
            </w:pPr>
          </w:p>
        </w:tc>
        <w:tc>
          <w:tcPr>
            <w:tcW w:w="1461" w:type="dxa"/>
            <w:noWrap w:val="0"/>
            <w:vAlign w:val="center"/>
          </w:tcPr>
          <w:p w14:paraId="1B8FB2B6">
            <w:pPr>
              <w:ind w:firstLine="210" w:firstLineChars="100"/>
              <w:jc w:val="both"/>
              <w:rPr>
                <w:rFonts w:hint="eastAsia" w:ascii="宋体" w:hAnsi="宋体" w:eastAsia="宋体" w:cs="宋体"/>
                <w:bCs/>
                <w:kern w:val="0"/>
                <w:sz w:val="21"/>
                <w:szCs w:val="21"/>
              </w:rPr>
            </w:pPr>
            <w:r>
              <w:rPr>
                <w:rFonts w:hint="eastAsia"/>
                <w:vertAlign w:val="baseline"/>
                <w:lang w:val="en-US" w:eastAsia="zh-CN"/>
              </w:rPr>
              <w:t>检测设备</w:t>
            </w:r>
          </w:p>
          <w:p w14:paraId="20CDFB64">
            <w:pPr>
              <w:ind w:firstLine="210" w:firstLineChars="100"/>
              <w:jc w:val="both"/>
              <w:rPr>
                <w:rFonts w:hint="default"/>
                <w:vertAlign w:val="baseline"/>
                <w:lang w:val="en-US" w:eastAsia="zh-CN"/>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5532" w:type="dxa"/>
            <w:noWrap w:val="0"/>
            <w:vAlign w:val="center"/>
          </w:tcPr>
          <w:p w14:paraId="42DE201A">
            <w:pPr>
              <w:pStyle w:val="6"/>
              <w:snapToGrid w:val="0"/>
              <w:spacing w:after="0"/>
              <w:ind w:left="0" w:leftChars="0"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rPr>
              <w:t>供应商具有与开展工作相适应的仪器设备：</w:t>
            </w:r>
          </w:p>
          <w:p w14:paraId="6468B15B">
            <w:pPr>
              <w:ind w:firstLine="420" w:firstLineChars="200"/>
              <w:rPr>
                <w:rFonts w:hint="default"/>
                <w:lang w:val="en-US" w:eastAsia="zh-CN"/>
              </w:rPr>
            </w:pPr>
            <w:r>
              <w:rPr>
                <w:rFonts w:hint="eastAsia"/>
                <w:lang w:val="en-US" w:eastAsia="zh-CN"/>
              </w:rPr>
              <w:t>GC/MS（气相色谱/质谱联用仪）、LC-MS(液相色谱/质谱联用仪）、ICP-MS(电感耦合等离子体质谱仪）HPLC(液相色谱仪）、GC（气相色谱仪）、AAS（原子吸收分光光度计）、AFS（原子荧光分光光度计）、紫外-可见分光光度计、酶标仪、微波消解仪、自动电位滴定仪、</w:t>
            </w:r>
          </w:p>
          <w:p w14:paraId="03506C7D">
            <w:pPr>
              <w:rPr>
                <w:rFonts w:hint="default"/>
                <w:vertAlign w:val="baseline"/>
                <w:lang w:val="en-US" w:eastAsia="zh-CN"/>
              </w:rPr>
            </w:pPr>
            <w:r>
              <w:rPr>
                <w:rFonts w:hint="eastAsia" w:ascii="宋体" w:hAnsi="宋体" w:eastAsia="宋体" w:cs="宋体"/>
                <w:bCs/>
                <w:kern w:val="0"/>
                <w:sz w:val="21"/>
                <w:szCs w:val="21"/>
              </w:rPr>
              <w:t>具备</w:t>
            </w:r>
            <w:r>
              <w:rPr>
                <w:rFonts w:hint="eastAsia" w:ascii="宋体" w:hAnsi="宋体" w:eastAsia="宋体" w:cs="宋体"/>
                <w:bCs/>
                <w:kern w:val="0"/>
                <w:sz w:val="21"/>
                <w:szCs w:val="21"/>
                <w:lang w:eastAsia="zh-CN"/>
              </w:rPr>
              <w:t>所有</w:t>
            </w:r>
            <w:r>
              <w:rPr>
                <w:rFonts w:hint="eastAsia" w:ascii="宋体" w:hAnsi="宋体" w:eastAsia="宋体" w:cs="宋体"/>
                <w:bCs/>
                <w:kern w:val="0"/>
                <w:sz w:val="21"/>
                <w:szCs w:val="21"/>
              </w:rPr>
              <w:t>仪器</w:t>
            </w:r>
            <w:r>
              <w:rPr>
                <w:rFonts w:hint="eastAsia" w:ascii="宋体" w:hAnsi="宋体" w:eastAsia="宋体" w:cs="宋体"/>
                <w:bCs/>
                <w:kern w:val="0"/>
                <w:sz w:val="21"/>
                <w:szCs w:val="21"/>
                <w:lang w:eastAsia="zh-CN"/>
              </w:rPr>
              <w:t>设备</w:t>
            </w:r>
            <w:r>
              <w:rPr>
                <w:rFonts w:hint="eastAsia" w:ascii="宋体" w:hAnsi="宋体" w:eastAsia="宋体" w:cs="宋体"/>
                <w:bCs/>
                <w:kern w:val="0"/>
                <w:sz w:val="21"/>
                <w:szCs w:val="21"/>
              </w:rPr>
              <w:t>得</w:t>
            </w:r>
            <w:r>
              <w:rPr>
                <w:rFonts w:hint="eastAsia" w:ascii="宋体" w:hAnsi="宋体" w:eastAsia="宋体" w:cs="宋体"/>
                <w:bCs/>
                <w:kern w:val="0"/>
                <w:sz w:val="21"/>
                <w:szCs w:val="21"/>
                <w:lang w:val="en-US" w:eastAsia="zh-CN"/>
              </w:rPr>
              <w:t>20</w:t>
            </w:r>
            <w:r>
              <w:rPr>
                <w:rFonts w:hint="eastAsia" w:ascii="宋体" w:hAnsi="宋体" w:eastAsia="宋体" w:cs="宋体"/>
                <w:bCs/>
                <w:kern w:val="0"/>
                <w:sz w:val="21"/>
                <w:szCs w:val="21"/>
              </w:rPr>
              <w:t>分，</w:t>
            </w:r>
            <w:r>
              <w:rPr>
                <w:rFonts w:hint="eastAsia" w:ascii="宋体" w:hAnsi="宋体" w:eastAsia="宋体" w:cs="宋体"/>
                <w:bCs/>
                <w:kern w:val="0"/>
                <w:sz w:val="21"/>
                <w:szCs w:val="21"/>
                <w:lang w:eastAsia="zh-CN"/>
              </w:rPr>
              <w:t>缺少一项仪器设备扣</w:t>
            </w:r>
            <w:r>
              <w:rPr>
                <w:rFonts w:hint="eastAsia" w:ascii="宋体" w:hAnsi="宋体" w:eastAsia="宋体" w:cs="宋体"/>
                <w:bCs/>
                <w:kern w:val="0"/>
                <w:sz w:val="21"/>
                <w:szCs w:val="21"/>
                <w:lang w:val="en-US" w:eastAsia="zh-CN"/>
              </w:rPr>
              <w:t>1.8分</w:t>
            </w:r>
            <w:r>
              <w:rPr>
                <w:rFonts w:hint="eastAsia" w:ascii="宋体" w:hAnsi="宋体" w:eastAsia="宋体" w:cs="宋体"/>
                <w:bCs/>
                <w:kern w:val="0"/>
                <w:sz w:val="21"/>
                <w:szCs w:val="21"/>
              </w:rPr>
              <w:t>。（响应文件中需提供仪器购置发票扫描件</w:t>
            </w:r>
            <w:r>
              <w:rPr>
                <w:rFonts w:hint="eastAsia" w:ascii="宋体" w:hAnsi="宋体" w:eastAsia="宋体" w:cs="宋体"/>
                <w:bCs/>
                <w:kern w:val="0"/>
                <w:sz w:val="21"/>
                <w:szCs w:val="21"/>
                <w:lang w:eastAsia="zh-CN"/>
              </w:rPr>
              <w:t>及</w:t>
            </w:r>
            <w:r>
              <w:rPr>
                <w:rFonts w:hint="eastAsia" w:ascii="宋体" w:hAnsi="宋体" w:eastAsia="宋体" w:cs="宋体"/>
                <w:bCs/>
                <w:kern w:val="0"/>
                <w:sz w:val="21"/>
                <w:szCs w:val="21"/>
                <w:highlight w:val="none"/>
              </w:rPr>
              <w:t>在有效期内的检定/校准证书扫描件，否则不得分。）</w:t>
            </w:r>
          </w:p>
        </w:tc>
        <w:tc>
          <w:tcPr>
            <w:tcW w:w="848" w:type="dxa"/>
            <w:noWrap w:val="0"/>
            <w:vAlign w:val="center"/>
          </w:tcPr>
          <w:p w14:paraId="3C5B6BEC">
            <w:pPr>
              <w:jc w:val="both"/>
              <w:rPr>
                <w:rFonts w:hint="default"/>
                <w:vertAlign w:val="baseline"/>
                <w:lang w:val="en-US" w:eastAsia="zh-CN"/>
              </w:rPr>
            </w:pPr>
          </w:p>
        </w:tc>
      </w:tr>
      <w:tr w14:paraId="7B74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338" w:type="dxa"/>
            <w:vMerge w:val="continue"/>
            <w:noWrap w:val="0"/>
            <w:vAlign w:val="center"/>
          </w:tcPr>
          <w:p w14:paraId="60418182">
            <w:pPr>
              <w:jc w:val="center"/>
              <w:rPr>
                <w:rFonts w:hint="default"/>
                <w:vertAlign w:val="baseline"/>
                <w:lang w:val="en-US" w:eastAsia="zh-CN"/>
              </w:rPr>
            </w:pPr>
          </w:p>
        </w:tc>
        <w:tc>
          <w:tcPr>
            <w:tcW w:w="1461" w:type="dxa"/>
            <w:noWrap w:val="0"/>
            <w:vAlign w:val="center"/>
          </w:tcPr>
          <w:p w14:paraId="38E7F4A1">
            <w:pPr>
              <w:pStyle w:val="2"/>
              <w:ind w:left="0" w:leftChars="0" w:firstLine="0" w:firstLineChars="0"/>
              <w:jc w:val="center"/>
              <w:rPr>
                <w:rFonts w:hint="eastAsia"/>
                <w:vertAlign w:val="baseline"/>
                <w:lang w:val="en-US" w:eastAsia="zh-CN"/>
              </w:rPr>
            </w:pPr>
            <w:r>
              <w:rPr>
                <w:rFonts w:hint="eastAsia"/>
                <w:vertAlign w:val="baseline"/>
                <w:lang w:val="en-US" w:eastAsia="zh-CN"/>
              </w:rPr>
              <w:t>检测场地</w:t>
            </w:r>
          </w:p>
          <w:p w14:paraId="268657B4">
            <w:pPr>
              <w:pStyle w:val="2"/>
              <w:ind w:left="0" w:leftChars="0" w:firstLine="0" w:firstLineChars="0"/>
              <w:jc w:val="center"/>
              <w:rPr>
                <w:rFonts w:hint="default"/>
                <w:lang w:val="en-US" w:eastAsia="zh-CN"/>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0分）</w:t>
            </w:r>
          </w:p>
        </w:tc>
        <w:tc>
          <w:tcPr>
            <w:tcW w:w="5532" w:type="dxa"/>
            <w:noWrap w:val="0"/>
            <w:vAlign w:val="center"/>
          </w:tcPr>
          <w:p w14:paraId="1232271D">
            <w:pPr>
              <w:jc w:val="both"/>
              <w:rPr>
                <w:rFonts w:hint="default"/>
                <w:vertAlign w:val="baseline"/>
                <w:lang w:val="en-US" w:eastAsia="zh-CN"/>
              </w:rPr>
            </w:pPr>
            <w:r>
              <w:rPr>
                <w:rFonts w:hint="eastAsia" w:ascii="宋体" w:hAnsi="宋体" w:eastAsia="宋体" w:cs="宋体"/>
                <w:bCs/>
                <w:kern w:val="0"/>
                <w:sz w:val="21"/>
                <w:szCs w:val="21"/>
                <w:lang w:val="en-US" w:eastAsia="zh-CN" w:bidi="ar-SA"/>
              </w:rPr>
              <w:t>单位办公及实验室面积4</w:t>
            </w:r>
            <w:r>
              <w:rPr>
                <w:rFonts w:hint="eastAsia" w:ascii="宋体" w:hAnsi="宋体" w:cs="宋体"/>
                <w:bCs/>
                <w:kern w:val="0"/>
                <w:sz w:val="21"/>
                <w:szCs w:val="21"/>
                <w:lang w:val="en-US" w:eastAsia="zh-CN" w:bidi="ar-SA"/>
              </w:rPr>
              <w:t>0</w:t>
            </w:r>
            <w:r>
              <w:rPr>
                <w:rFonts w:hint="eastAsia" w:ascii="宋体" w:hAnsi="宋体" w:eastAsia="宋体" w:cs="宋体"/>
                <w:bCs/>
                <w:kern w:val="0"/>
                <w:sz w:val="21"/>
                <w:szCs w:val="21"/>
                <w:lang w:val="en-US" w:eastAsia="zh-CN" w:bidi="ar-SA"/>
              </w:rPr>
              <w:t>00平米以上的得</w:t>
            </w:r>
            <w:r>
              <w:rPr>
                <w:rFonts w:hint="eastAsia" w:ascii="宋体" w:hAnsi="宋体" w:cs="宋体"/>
                <w:bCs/>
                <w:kern w:val="0"/>
                <w:sz w:val="21"/>
                <w:szCs w:val="21"/>
                <w:lang w:val="en-US" w:eastAsia="zh-CN" w:bidi="ar-SA"/>
              </w:rPr>
              <w:t>20</w:t>
            </w:r>
            <w:r>
              <w:rPr>
                <w:rFonts w:hint="eastAsia" w:ascii="宋体" w:hAnsi="宋体" w:eastAsia="宋体" w:cs="宋体"/>
                <w:bCs/>
                <w:kern w:val="0"/>
                <w:sz w:val="21"/>
                <w:szCs w:val="21"/>
                <w:lang w:val="en-US" w:eastAsia="zh-CN" w:bidi="ar-SA"/>
              </w:rPr>
              <w:t>分，250</w:t>
            </w:r>
            <w:r>
              <w:rPr>
                <w:rFonts w:hint="eastAsia" w:ascii="宋体" w:hAnsi="宋体" w:cs="宋体"/>
                <w:bCs/>
                <w:kern w:val="0"/>
                <w:sz w:val="21"/>
                <w:szCs w:val="21"/>
                <w:lang w:val="en-US" w:eastAsia="zh-CN" w:bidi="ar-SA"/>
              </w:rPr>
              <w:t>0</w:t>
            </w:r>
            <w:r>
              <w:rPr>
                <w:rFonts w:hint="eastAsia" w:ascii="宋体" w:hAnsi="宋体" w:eastAsia="宋体" w:cs="宋体"/>
                <w:bCs/>
                <w:kern w:val="0"/>
                <w:sz w:val="21"/>
                <w:szCs w:val="21"/>
                <w:lang w:val="en-US" w:eastAsia="zh-CN" w:bidi="ar-SA"/>
              </w:rPr>
              <w:t>-4000 平米的得</w:t>
            </w:r>
            <w:r>
              <w:rPr>
                <w:rFonts w:hint="eastAsia" w:ascii="宋体" w:hAnsi="宋体" w:cs="宋体"/>
                <w:bCs/>
                <w:kern w:val="0"/>
                <w:sz w:val="21"/>
                <w:szCs w:val="21"/>
                <w:lang w:val="en-US" w:eastAsia="zh-CN" w:bidi="ar-SA"/>
              </w:rPr>
              <w:t>15</w:t>
            </w:r>
            <w:r>
              <w:rPr>
                <w:rFonts w:hint="eastAsia" w:ascii="宋体" w:hAnsi="宋体" w:eastAsia="宋体" w:cs="宋体"/>
                <w:bCs/>
                <w:kern w:val="0"/>
                <w:sz w:val="21"/>
                <w:szCs w:val="21"/>
                <w:lang w:val="en-US" w:eastAsia="zh-CN" w:bidi="ar-SA"/>
              </w:rPr>
              <w:t>分；150</w:t>
            </w:r>
            <w:r>
              <w:rPr>
                <w:rFonts w:hint="eastAsia" w:ascii="宋体" w:hAnsi="宋体" w:cs="宋体"/>
                <w:bCs/>
                <w:kern w:val="0"/>
                <w:sz w:val="21"/>
                <w:szCs w:val="21"/>
                <w:lang w:val="en-US" w:eastAsia="zh-CN" w:bidi="ar-SA"/>
              </w:rPr>
              <w:t>0</w:t>
            </w:r>
            <w:r>
              <w:rPr>
                <w:rFonts w:hint="eastAsia" w:ascii="宋体" w:hAnsi="宋体" w:eastAsia="宋体" w:cs="宋体"/>
                <w:bCs/>
                <w:kern w:val="0"/>
                <w:sz w:val="21"/>
                <w:szCs w:val="21"/>
                <w:lang w:val="en-US" w:eastAsia="zh-CN" w:bidi="ar-SA"/>
              </w:rPr>
              <w:t>-2500 平米得</w:t>
            </w:r>
            <w:r>
              <w:rPr>
                <w:rFonts w:hint="eastAsia" w:ascii="宋体" w:hAnsi="宋体" w:cs="宋体"/>
                <w:bCs/>
                <w:kern w:val="0"/>
                <w:sz w:val="21"/>
                <w:szCs w:val="21"/>
                <w:lang w:val="en-US" w:eastAsia="zh-CN" w:bidi="ar-SA"/>
              </w:rPr>
              <w:t>10</w:t>
            </w:r>
            <w:r>
              <w:rPr>
                <w:rFonts w:hint="eastAsia" w:ascii="宋体" w:hAnsi="宋体" w:eastAsia="宋体" w:cs="宋体"/>
                <w:bCs/>
                <w:kern w:val="0"/>
                <w:sz w:val="21"/>
                <w:szCs w:val="21"/>
                <w:lang w:val="en-US" w:eastAsia="zh-CN" w:bidi="ar-SA"/>
              </w:rPr>
              <w:t>分，1500 平米以下得5分。（该项以房屋租赁合同或产权证明为准）</w:t>
            </w:r>
          </w:p>
        </w:tc>
        <w:tc>
          <w:tcPr>
            <w:tcW w:w="848" w:type="dxa"/>
            <w:noWrap w:val="0"/>
            <w:vAlign w:val="center"/>
          </w:tcPr>
          <w:p w14:paraId="60D6D092">
            <w:pPr>
              <w:jc w:val="center"/>
              <w:rPr>
                <w:rFonts w:hint="default"/>
                <w:vertAlign w:val="baseline"/>
                <w:lang w:val="en-US" w:eastAsia="zh-CN"/>
              </w:rPr>
            </w:pPr>
          </w:p>
        </w:tc>
      </w:tr>
      <w:tr w14:paraId="3C15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1338" w:type="dxa"/>
            <w:vMerge w:val="continue"/>
            <w:noWrap w:val="0"/>
            <w:vAlign w:val="center"/>
          </w:tcPr>
          <w:p w14:paraId="03D56D6C">
            <w:pPr>
              <w:jc w:val="center"/>
              <w:rPr>
                <w:rFonts w:hint="default"/>
                <w:vertAlign w:val="baseline"/>
                <w:lang w:val="en-US" w:eastAsia="zh-CN"/>
              </w:rPr>
            </w:pPr>
          </w:p>
        </w:tc>
        <w:tc>
          <w:tcPr>
            <w:tcW w:w="1461" w:type="dxa"/>
            <w:noWrap w:val="0"/>
            <w:vAlign w:val="center"/>
          </w:tcPr>
          <w:p w14:paraId="07FAE855">
            <w:pPr>
              <w:jc w:val="center"/>
              <w:rPr>
                <w:rFonts w:hint="eastAsia"/>
                <w:vertAlign w:val="baseline"/>
                <w:lang w:val="en-US" w:eastAsia="zh-CN"/>
              </w:rPr>
            </w:pPr>
            <w:r>
              <w:rPr>
                <w:rFonts w:hint="eastAsia"/>
                <w:vertAlign w:val="baseline"/>
                <w:lang w:val="en-US" w:eastAsia="zh-CN"/>
              </w:rPr>
              <w:t>检测能力</w:t>
            </w:r>
          </w:p>
          <w:p w14:paraId="70E26187">
            <w:pPr>
              <w:jc w:val="center"/>
              <w:rPr>
                <w:rFonts w:hint="default"/>
                <w:vertAlign w:val="baseline"/>
                <w:lang w:val="en-US" w:eastAsia="zh-CN"/>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5532" w:type="dxa"/>
            <w:noWrap w:val="0"/>
            <w:vAlign w:val="center"/>
          </w:tcPr>
          <w:p w14:paraId="1B1B62A4">
            <w:pPr>
              <w:jc w:val="both"/>
              <w:rPr>
                <w:rFonts w:hint="default"/>
                <w:vertAlign w:val="baseline"/>
                <w:lang w:val="en-US" w:eastAsia="zh-CN"/>
              </w:rPr>
            </w:pPr>
            <w:r>
              <w:rPr>
                <w:rFonts w:hint="eastAsia" w:ascii="宋体" w:hAnsi="宋体" w:eastAsia="宋体" w:cs="宋体"/>
                <w:sz w:val="21"/>
                <w:szCs w:val="21"/>
                <w:lang w:eastAsia="zh-CN"/>
              </w:rPr>
              <w:t>供应商必须</w:t>
            </w:r>
            <w:r>
              <w:rPr>
                <w:rFonts w:hint="eastAsia" w:ascii="宋体" w:hAnsi="宋体" w:eastAsia="宋体" w:cs="宋体"/>
                <w:sz w:val="21"/>
                <w:szCs w:val="21"/>
              </w:rPr>
              <w:t>参加202</w:t>
            </w:r>
            <w:r>
              <w:rPr>
                <w:rFonts w:hint="eastAsia" w:ascii="宋体" w:hAnsi="宋体" w:eastAsia="宋体" w:cs="宋体"/>
                <w:sz w:val="21"/>
                <w:szCs w:val="21"/>
                <w:lang w:val="en-US" w:eastAsia="zh-CN"/>
              </w:rPr>
              <w:t>5</w:t>
            </w:r>
            <w:r>
              <w:rPr>
                <w:rFonts w:hint="eastAsia" w:ascii="宋体" w:hAnsi="宋体" w:eastAsia="宋体" w:cs="宋体"/>
                <w:sz w:val="21"/>
                <w:szCs w:val="21"/>
              </w:rPr>
              <w:t>年河南省农业农村厅组织的农产品质量安全检测能力验证所有项目（4项），</w:t>
            </w:r>
            <w:r>
              <w:rPr>
                <w:rFonts w:hint="eastAsia" w:ascii="宋体" w:hAnsi="宋体" w:eastAsia="宋体" w:cs="宋体"/>
                <w:sz w:val="21"/>
                <w:szCs w:val="21"/>
                <w:lang w:val="en-US" w:eastAsia="zh-CN"/>
              </w:rPr>
              <w:t>4项能力验证</w:t>
            </w:r>
            <w:r>
              <w:rPr>
                <w:rFonts w:hint="eastAsia" w:ascii="宋体" w:hAnsi="宋体" w:eastAsia="宋体" w:cs="宋体"/>
                <w:sz w:val="21"/>
                <w:szCs w:val="21"/>
              </w:rPr>
              <w:t>全部合格得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r>
              <w:rPr>
                <w:rFonts w:hint="eastAsia" w:ascii="宋体" w:hAnsi="宋体" w:eastAsia="宋体" w:cs="宋体"/>
                <w:sz w:val="21"/>
                <w:szCs w:val="21"/>
                <w:lang w:val="en-US" w:eastAsia="zh-CN"/>
              </w:rPr>
              <w:t>4项能力验证合格有一项仅考核部分参数合格得10分；4项能力验证</w:t>
            </w:r>
            <w:r>
              <w:rPr>
                <w:rFonts w:hint="eastAsia" w:ascii="宋体" w:hAnsi="宋体" w:eastAsia="宋体" w:cs="宋体"/>
                <w:sz w:val="21"/>
                <w:szCs w:val="21"/>
              </w:rPr>
              <w:t>有一项不合格的不得分</w:t>
            </w:r>
            <w:r>
              <w:rPr>
                <w:rFonts w:hint="eastAsia" w:ascii="宋体" w:hAnsi="宋体" w:eastAsia="宋体" w:cs="宋体"/>
                <w:sz w:val="21"/>
                <w:szCs w:val="21"/>
                <w:lang w:eastAsia="zh-CN"/>
              </w:rPr>
              <w:t>。</w:t>
            </w:r>
            <w:r>
              <w:rPr>
                <w:rFonts w:hint="eastAsia" w:ascii="宋体" w:hAnsi="宋体" w:eastAsia="宋体" w:cs="宋体"/>
                <w:bCs/>
                <w:color w:val="auto"/>
                <w:kern w:val="0"/>
                <w:sz w:val="21"/>
                <w:szCs w:val="21"/>
                <w:lang w:val="en-US" w:eastAsia="zh-CN" w:bidi="ar-SA"/>
              </w:rPr>
              <w:t xml:space="preserve">（以河南省农业农村厅关于2025年农产品质量安全检测技术能力验证结果的通报文件中能力验证结果一览表为准，响应文件中附能力验证结果一览表扫描件，资质虚报者本项为 </w:t>
            </w:r>
            <w:r>
              <w:rPr>
                <w:rFonts w:hint="eastAsia" w:ascii="宋体" w:hAnsi="宋体" w:eastAsia="宋体" w:cs="宋体"/>
                <w:bCs/>
                <w:kern w:val="0"/>
                <w:sz w:val="21"/>
                <w:szCs w:val="21"/>
                <w:lang w:val="en-US" w:eastAsia="zh-CN" w:bidi="ar-SA"/>
              </w:rPr>
              <w:t>0 分。）</w:t>
            </w:r>
          </w:p>
        </w:tc>
        <w:tc>
          <w:tcPr>
            <w:tcW w:w="848" w:type="dxa"/>
            <w:noWrap w:val="0"/>
            <w:vAlign w:val="center"/>
          </w:tcPr>
          <w:p w14:paraId="4B215C52">
            <w:pPr>
              <w:jc w:val="center"/>
              <w:rPr>
                <w:rFonts w:hint="default"/>
                <w:vertAlign w:val="baseline"/>
                <w:lang w:val="en-US" w:eastAsia="zh-CN"/>
              </w:rPr>
            </w:pPr>
          </w:p>
        </w:tc>
      </w:tr>
      <w:tr w14:paraId="5324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38" w:type="dxa"/>
            <w:vMerge w:val="continue"/>
            <w:noWrap w:val="0"/>
            <w:vAlign w:val="center"/>
          </w:tcPr>
          <w:p w14:paraId="6BAD8806">
            <w:pPr>
              <w:jc w:val="center"/>
              <w:rPr>
                <w:rFonts w:hint="default"/>
                <w:vertAlign w:val="baseline"/>
                <w:lang w:val="en-US" w:eastAsia="zh-CN"/>
              </w:rPr>
            </w:pPr>
          </w:p>
        </w:tc>
        <w:tc>
          <w:tcPr>
            <w:tcW w:w="1461" w:type="dxa"/>
            <w:noWrap w:val="0"/>
            <w:vAlign w:val="center"/>
          </w:tcPr>
          <w:p w14:paraId="035B3A23">
            <w:pPr>
              <w:jc w:val="center"/>
              <w:rPr>
                <w:rFonts w:hint="eastAsia"/>
                <w:vertAlign w:val="baseline"/>
                <w:lang w:val="en-US" w:eastAsia="zh-CN"/>
              </w:rPr>
            </w:pPr>
            <w:r>
              <w:rPr>
                <w:rFonts w:hint="eastAsia"/>
                <w:vertAlign w:val="baseline"/>
                <w:lang w:val="en-US" w:eastAsia="zh-CN"/>
              </w:rPr>
              <w:t>检测业绩</w:t>
            </w:r>
          </w:p>
          <w:p w14:paraId="310EE5C2">
            <w:pPr>
              <w:pStyle w:val="2"/>
              <w:ind w:left="0" w:leftChars="0" w:firstLine="0" w:firstLineChars="0"/>
              <w:jc w:val="center"/>
              <w:rPr>
                <w:rFonts w:hint="default"/>
                <w:lang w:val="en-US" w:eastAsia="zh-CN"/>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0分）</w:t>
            </w:r>
          </w:p>
        </w:tc>
        <w:tc>
          <w:tcPr>
            <w:tcW w:w="5532" w:type="dxa"/>
            <w:noWrap w:val="0"/>
            <w:vAlign w:val="center"/>
          </w:tcPr>
          <w:p w14:paraId="48BC4C5C">
            <w:pPr>
              <w:pStyle w:val="6"/>
              <w:snapToGrid w:val="0"/>
              <w:spacing w:after="0"/>
              <w:ind w:left="0" w:leftChars="0" w:firstLine="0" w:firstLineChars="0"/>
              <w:rPr>
                <w:rFonts w:hint="default"/>
                <w:vertAlign w:val="baseline"/>
                <w:lang w:val="en-US" w:eastAsia="zh-CN"/>
              </w:rPr>
            </w:pPr>
            <w:r>
              <w:rPr>
                <w:rFonts w:hint="eastAsia" w:ascii="宋体" w:hAnsi="宋体" w:eastAsia="宋体" w:cs="宋体"/>
                <w:bCs/>
                <w:color w:val="auto"/>
                <w:kern w:val="0"/>
                <w:sz w:val="21"/>
                <w:szCs w:val="21"/>
              </w:rPr>
              <w:t>20</w:t>
            </w:r>
            <w:r>
              <w:rPr>
                <w:rFonts w:hint="eastAsia" w:ascii="宋体" w:hAnsi="宋体" w:eastAsia="宋体" w:cs="宋体"/>
                <w:bCs/>
                <w:color w:val="auto"/>
                <w:kern w:val="0"/>
                <w:sz w:val="21"/>
                <w:szCs w:val="21"/>
                <w:lang w:val="en-US" w:eastAsia="zh-CN"/>
              </w:rPr>
              <w:t>22</w:t>
            </w:r>
            <w:r>
              <w:rPr>
                <w:rFonts w:hint="eastAsia" w:ascii="宋体" w:hAnsi="宋体" w:eastAsia="宋体" w:cs="宋体"/>
                <w:bCs/>
                <w:color w:val="auto"/>
                <w:kern w:val="0"/>
                <w:sz w:val="21"/>
                <w:szCs w:val="21"/>
              </w:rPr>
              <w:t>年1月1日以来供应商完成过的类似项目（</w:t>
            </w:r>
            <w:r>
              <w:rPr>
                <w:rFonts w:hint="eastAsia" w:ascii="宋体" w:hAnsi="宋体" w:eastAsia="宋体" w:cs="宋体"/>
                <w:bCs/>
                <w:kern w:val="0"/>
                <w:sz w:val="21"/>
                <w:szCs w:val="21"/>
                <w:lang w:val="en-US" w:eastAsia="zh-CN"/>
              </w:rPr>
              <w:t>农产品</w:t>
            </w:r>
            <w:r>
              <w:rPr>
                <w:rFonts w:hint="eastAsia" w:ascii="宋体" w:hAnsi="宋体" w:eastAsia="宋体" w:cs="宋体"/>
                <w:bCs/>
                <w:kern w:val="0"/>
                <w:sz w:val="21"/>
                <w:szCs w:val="21"/>
              </w:rPr>
              <w:t>检测）业绩。每提供一</w:t>
            </w:r>
            <w:r>
              <w:rPr>
                <w:rFonts w:hint="eastAsia" w:ascii="宋体" w:hAnsi="宋体" w:eastAsia="宋体" w:cs="宋体"/>
                <w:bCs/>
                <w:kern w:val="0"/>
                <w:sz w:val="21"/>
                <w:szCs w:val="21"/>
                <w:lang w:eastAsia="zh-CN"/>
              </w:rPr>
              <w:t>项</w:t>
            </w:r>
            <w:r>
              <w:rPr>
                <w:rFonts w:hint="eastAsia" w:ascii="宋体" w:hAnsi="宋体" w:eastAsia="宋体" w:cs="宋体"/>
                <w:bCs/>
                <w:kern w:val="0"/>
                <w:sz w:val="21"/>
                <w:szCs w:val="21"/>
              </w:rPr>
              <w:t>业绩的得</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分，最多得</w:t>
            </w:r>
            <w:r>
              <w:rPr>
                <w:rFonts w:hint="eastAsia" w:ascii="宋体" w:hAnsi="宋体" w:eastAsia="宋体" w:cs="宋体"/>
                <w:bCs/>
                <w:kern w:val="0"/>
                <w:sz w:val="21"/>
                <w:szCs w:val="21"/>
                <w:lang w:val="en-US" w:eastAsia="zh-CN"/>
              </w:rPr>
              <w:t>20</w:t>
            </w:r>
            <w:r>
              <w:rPr>
                <w:rFonts w:hint="eastAsia" w:ascii="宋体" w:hAnsi="宋体" w:eastAsia="宋体" w:cs="宋体"/>
                <w:bCs/>
                <w:kern w:val="0"/>
                <w:sz w:val="21"/>
                <w:szCs w:val="21"/>
              </w:rPr>
              <w:t>分。</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响应文件中应附</w:t>
            </w:r>
            <w:r>
              <w:rPr>
                <w:rFonts w:hint="eastAsia" w:ascii="宋体" w:hAnsi="宋体" w:eastAsia="宋体" w:cs="宋体"/>
                <w:bCs/>
                <w:kern w:val="0"/>
                <w:sz w:val="21"/>
                <w:szCs w:val="21"/>
                <w:lang w:val="en-US" w:eastAsia="zh-CN"/>
              </w:rPr>
              <w:t>中标</w:t>
            </w:r>
            <w:r>
              <w:rPr>
                <w:rFonts w:hint="eastAsia" w:ascii="宋体" w:hAnsi="宋体" w:cs="宋体"/>
                <w:bCs/>
                <w:kern w:val="0"/>
                <w:sz w:val="21"/>
                <w:szCs w:val="21"/>
                <w:lang w:val="en-US" w:eastAsia="zh-CN"/>
              </w:rPr>
              <w:t>（成交）</w:t>
            </w:r>
            <w:r>
              <w:rPr>
                <w:rFonts w:hint="eastAsia" w:ascii="宋体" w:hAnsi="宋体" w:eastAsia="宋体" w:cs="宋体"/>
                <w:bCs/>
                <w:kern w:val="0"/>
                <w:sz w:val="21"/>
                <w:szCs w:val="21"/>
                <w:lang w:val="en-US" w:eastAsia="zh-CN"/>
              </w:rPr>
              <w:t>通知书、</w:t>
            </w:r>
            <w:r>
              <w:rPr>
                <w:rFonts w:hint="eastAsia" w:ascii="宋体" w:hAnsi="宋体" w:eastAsia="宋体" w:cs="宋体"/>
                <w:bCs/>
                <w:kern w:val="0"/>
                <w:sz w:val="21"/>
                <w:szCs w:val="21"/>
              </w:rPr>
              <w:t>合同复印件并加盖单位公章，否则不得分。</w:t>
            </w:r>
            <w:r>
              <w:rPr>
                <w:rFonts w:hint="eastAsia" w:ascii="宋体" w:hAnsi="宋体" w:eastAsia="宋体" w:cs="宋体"/>
                <w:bCs/>
                <w:kern w:val="0"/>
                <w:sz w:val="21"/>
                <w:szCs w:val="21"/>
                <w:lang w:eastAsia="zh-CN"/>
              </w:rPr>
              <w:t>）</w:t>
            </w:r>
          </w:p>
        </w:tc>
        <w:tc>
          <w:tcPr>
            <w:tcW w:w="848" w:type="dxa"/>
            <w:noWrap w:val="0"/>
            <w:vAlign w:val="center"/>
          </w:tcPr>
          <w:p w14:paraId="489BD4EB">
            <w:pPr>
              <w:jc w:val="center"/>
              <w:rPr>
                <w:rFonts w:hint="default"/>
                <w:vertAlign w:val="baseline"/>
                <w:lang w:val="en-US" w:eastAsia="zh-CN"/>
              </w:rPr>
            </w:pPr>
          </w:p>
        </w:tc>
      </w:tr>
    </w:tbl>
    <w:p w14:paraId="7065E0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方正小标宋_GBK"/>
    <w:panose1 w:val="02000500000000000000"/>
    <w:charset w:val="00"/>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10758"/>
    <w:rsid w:val="FEE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3">
    <w:name w:val="Body Text"/>
    <w:basedOn w:val="1"/>
    <w:next w:val="4"/>
    <w:qFormat/>
    <w:uiPriority w:val="99"/>
    <w:pPr>
      <w:spacing w:after="120"/>
    </w:pPr>
    <w:rPr>
      <w:rFonts w:ascii="Times New Roman" w:hAnsi="Times New Roman"/>
      <w:szCs w:val="24"/>
    </w:rPr>
  </w:style>
  <w:style w:type="paragraph" w:customStyle="1" w:styleId="4">
    <w:name w:val="style4"/>
    <w:basedOn w:val="1"/>
    <w:next w:val="5"/>
    <w:qFormat/>
    <w:uiPriority w:val="0"/>
    <w:pPr>
      <w:widowControl/>
      <w:spacing w:before="280" w:after="280"/>
    </w:pPr>
    <w:rPr>
      <w:rFonts w:ascii="宋体" w:eastAsia="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w:basedOn w:val="3"/>
    <w:next w:val="1"/>
    <w:qFormat/>
    <w:uiPriority w:val="99"/>
    <w:pPr>
      <w:ind w:firstLine="420" w:firstLineChars="100"/>
    </w:pPr>
    <w:rPr>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2026-07-10T17:15:00Z</dcterms:created>
  <dc:creator>今日至安</dc:creator>
  <cp:lastModifiedBy>今日至安</cp:lastModifiedBy>
  <dcterms:modified xsi:type="dcterms:W3CDTF">2026-07-10T17:16:01Z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E7BA86DB8C7E258538B8506A1CBE7E66_41</vt:lpwstr>
  </property>
</Properties>
</file>