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仿宋_GB2312" w:hAnsi="仿宋_GB2312" w:eastAsia="仿宋_GB2312" w:cs="仿宋_GB2312"/>
          <w:color w:val="333333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 w:bidi="ar"/>
        </w:rPr>
        <w:t>附件1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4"/>
        <w:gridCol w:w="1608"/>
        <w:gridCol w:w="4687"/>
        <w:gridCol w:w="128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第六届中国·河南招才引智创新发展大会许昌市农业农村局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所属事业单位公开招聘工作人员体检人员名单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许昌市农业技术推广站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牛芬溪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许昌市动物疫病预防控制中心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陈停停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许昌市畜牧水产技术推广站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占永超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dkZDY1MzI2YTgwNmI2MjE1MmRmNTg5OTgzNDAyYTMifQ=="/>
  </w:docVars>
  <w:rsids>
    <w:rsidRoot w:val="6B0B53DA"/>
    <w:rsid w:val="6B0B5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2023-12-19T01:49:00Z</dcterms:created>
  <dc:creator>Mangbor</dc:creator>
  <cp:lastModifiedBy>Mangbor</cp:lastModifiedBy>
  <dcterms:modified xsi:type="dcterms:W3CDTF">2023-12-19T01:50:46Z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88EFFCCA79F14482AC391D2A7784AA8A_11</vt:lpwstr>
  </property>
</Properties>
</file>