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关于河南省农业农村系统先进集体和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先进工作者拟表彰推荐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对象的公示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根据《河南省人力资源和社会保障厅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河南省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农业农村厅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关于评选表彰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河南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系统先进集体和先进工作者的通知》要求，为体现公开、公平、公正原则，充分发扬民主，接受社会监督，现将我市拟推荐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表彰对象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予以公示，公示时间为2021年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日。如对公示对象有不同意见，请于公示期内，以电话、邮件等方式向许昌市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局反映。反映情况需实事求是，提供具体线索或事实依据，提倡实名反映问题。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联系电话：0374—296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5790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电子邮箱：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instrText xml:space="preserve"> HYPERLINK "mailto:nyncjrsk5790@126.com"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nyncjrsk5790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@1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26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许昌市农业农村局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2021年5月8日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eastAsia" w:eastAsia="华文中宋"/>
          <w:b/>
          <w:bCs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hint="eastAsia" w:eastAsia="华文中宋"/>
          <w:b/>
          <w:bCs/>
          <w:kern w:val="0"/>
          <w:sz w:val="44"/>
          <w:szCs w:val="44"/>
        </w:rPr>
        <w:t>河南省农业农村系统先进集体和先进工作者</w:t>
      </w:r>
    </w:p>
    <w:p>
      <w:pPr>
        <w:widowControl/>
        <w:spacing w:line="60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hint="eastAsia" w:eastAsia="华文中宋"/>
          <w:b/>
          <w:bCs/>
          <w:kern w:val="0"/>
          <w:sz w:val="44"/>
          <w:szCs w:val="44"/>
        </w:rPr>
        <w:t>推荐对象基本情况一览表</w:t>
      </w:r>
    </w:p>
    <w:p>
      <w:pPr>
        <w:widowControl/>
        <w:spacing w:line="600" w:lineRule="exact"/>
        <w:rPr>
          <w:kern w:val="0"/>
          <w:sz w:val="22"/>
        </w:rPr>
      </w:pPr>
      <w:r>
        <w:rPr>
          <w:kern w:val="0"/>
          <w:sz w:val="22"/>
        </w:rPr>
        <w:t>单位（章）：</w:t>
      </w:r>
      <w:r>
        <w:rPr>
          <w:kern w:val="0"/>
          <w:sz w:val="22"/>
          <w:u w:val="single"/>
        </w:rPr>
        <w:t xml:space="preserve">  </w:t>
      </w:r>
      <w:r>
        <w:rPr>
          <w:rFonts w:hint="eastAsia"/>
          <w:kern w:val="0"/>
          <w:sz w:val="22"/>
          <w:u w:val="single"/>
          <w:lang w:eastAsia="zh-CN"/>
        </w:rPr>
        <w:t>许昌市农业农村局</w:t>
      </w:r>
      <w:r>
        <w:rPr>
          <w:kern w:val="0"/>
          <w:sz w:val="22"/>
          <w:u w:val="single"/>
        </w:rPr>
        <w:t xml:space="preserve">    </w:t>
      </w:r>
      <w:r>
        <w:rPr>
          <w:rFonts w:eastAsia="华文楷体"/>
          <w:kern w:val="0"/>
          <w:sz w:val="22"/>
        </w:rPr>
        <w:t xml:space="preserve">                                                </w:t>
      </w:r>
      <w:r>
        <w:rPr>
          <w:kern w:val="0"/>
          <w:sz w:val="22"/>
        </w:rPr>
        <w:t>填表日期：</w:t>
      </w:r>
      <w:r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  <w:lang w:val="en-US" w:eastAsia="zh-CN"/>
        </w:rPr>
        <w:t>2021</w:t>
      </w:r>
      <w:r>
        <w:rPr>
          <w:kern w:val="0"/>
          <w:sz w:val="22"/>
          <w:u w:val="single"/>
        </w:rPr>
        <w:t xml:space="preserve"> </w:t>
      </w:r>
      <w:r>
        <w:rPr>
          <w:kern w:val="0"/>
          <w:sz w:val="22"/>
        </w:rPr>
        <w:t>年</w:t>
      </w:r>
      <w:r>
        <w:rPr>
          <w:kern w:val="0"/>
          <w:sz w:val="22"/>
          <w:u w:val="single"/>
        </w:rPr>
        <w:t xml:space="preserve">  </w:t>
      </w:r>
      <w:r>
        <w:rPr>
          <w:rFonts w:hint="eastAsia"/>
          <w:kern w:val="0"/>
          <w:sz w:val="22"/>
          <w:u w:val="single"/>
          <w:lang w:val="en-US" w:eastAsia="zh-CN"/>
        </w:rPr>
        <w:t>5</w:t>
      </w:r>
      <w:r>
        <w:rPr>
          <w:kern w:val="0"/>
          <w:sz w:val="22"/>
          <w:u w:val="single"/>
        </w:rPr>
        <w:t xml:space="preserve"> </w:t>
      </w:r>
      <w:r>
        <w:rPr>
          <w:kern w:val="0"/>
          <w:sz w:val="22"/>
        </w:rPr>
        <w:t>月</w:t>
      </w:r>
      <w:r>
        <w:rPr>
          <w:kern w:val="0"/>
          <w:sz w:val="22"/>
          <w:u w:val="single"/>
        </w:rPr>
        <w:t xml:space="preserve">   </w:t>
      </w:r>
      <w:r>
        <w:rPr>
          <w:rFonts w:hint="eastAsia"/>
          <w:kern w:val="0"/>
          <w:sz w:val="22"/>
          <w:u w:val="single"/>
          <w:lang w:val="en-US" w:eastAsia="zh-CN"/>
        </w:rPr>
        <w:t>8</w:t>
      </w:r>
      <w:r>
        <w:rPr>
          <w:kern w:val="0"/>
          <w:sz w:val="22"/>
          <w:u w:val="single"/>
        </w:rPr>
        <w:t xml:space="preserve">  </w:t>
      </w:r>
      <w:r>
        <w:rPr>
          <w:kern w:val="0"/>
          <w:sz w:val="22"/>
        </w:rPr>
        <w:t>日</w:t>
      </w:r>
    </w:p>
    <w:tbl>
      <w:tblPr>
        <w:tblStyle w:val="5"/>
        <w:tblW w:w="548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790"/>
        <w:gridCol w:w="1010"/>
        <w:gridCol w:w="1336"/>
        <w:gridCol w:w="8195"/>
        <w:gridCol w:w="1355"/>
        <w:gridCol w:w="628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b/>
                <w:bCs/>
                <w:kern w:val="0"/>
                <w:sz w:val="24"/>
              </w:rPr>
              <w:t>一、先进集体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pct"/>
          <w:trHeight w:val="523" w:hRule="atLeast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集体</w:t>
            </w:r>
            <w:r>
              <w:rPr>
                <w:kern w:val="0"/>
                <w:sz w:val="18"/>
                <w:szCs w:val="18"/>
              </w:rPr>
              <w:t>名称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行政</w:t>
            </w:r>
            <w:r>
              <w:rPr>
                <w:kern w:val="0"/>
                <w:sz w:val="18"/>
                <w:szCs w:val="18"/>
              </w:rPr>
              <w:t>级别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负责人姓名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及职务/职级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简要事迹（200字左右）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所属行业/领域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pct"/>
          <w:trHeight w:val="2329" w:hRule="atLeast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建安区农业农村局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正科级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马书房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建安区农业农村局局长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</w:rPr>
              <w:t>累计建成高标准农田64.2万亩，其中高效节水灌溉42.1万亩，建管成功经验在全省推广；粮食总产量稳定在60万吨以上，每年为国家贡献商品粮30万吨以上，央视对建安区麦田管理先进经验进行了报道。农业质量效益持续提升，成功申报省级现代农业产业园，培育市以上龙头企业26家（国家级2家），形成了食用菌和高端蔬菜种植加工两大省级农业产业化集群；新建农产品质量安全追溯点12个，认定“三品一标”产品37个，入选全国名特优新农产品5个；适度规模经营稳步推进，流转土地47万亩，培育农民专业合作社704家（国家级示范社3家、省级示范社3家），家庭农场211家。乡村产业融合多元发展，培育三产融合经营主体900多家，打造“一村一品”专业村40个，灵井镇霍庄村入选 “2020年全国乡村特色产业十亿镇亿元村名单”。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pct"/>
          <w:trHeight w:val="2630" w:hRule="atLeast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襄城县农业农村局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正科级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刘广灿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襄城县农业农村局局长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认真落实中央、省、市关于“三农”工作的决策部署，先后荣获襄城县文明标兵单位、襄城县争取上级资金先进单位、农技推广先进单位等。一是扛稳粮食安全责任。加大高标准农田建设力度，完成2019年建设任务4.6万亩，2020年完成高标准农田建设任务5万亩。二是加强美丽乡村建设。积极开展人居环境村庄清洁行动，大力实施农村人居环境整治“百塘千沟万院”工程。三是推动绿色生态发展。强力推进畜禽粪污资源化利用整县项目，在全省率先实施烟叶烤房“电代煤”工作。四是实施品牌引领战略。依托“农产品质量安全县”创建工作，切实加强从“农田到餐桌”全过程的农产品质量安全监管，围绕区域品牌培育，积极申报全国绿色食品（小麦、大豆）原料标准化生产基地和绿色食品大豆标志许可认证；成功申报襄城西葫芦、襄城胡萝卜2个全国名特优新农产品。五是积极推进农村宅基地改革。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after="156" w:afterLines="50"/>
      </w:pPr>
      <w:r>
        <w:rPr>
          <w:rFonts w:hint="eastAsia"/>
          <w:b/>
          <w:bCs/>
          <w:kern w:val="0"/>
          <w:sz w:val="24"/>
        </w:rPr>
        <w:t>二</w:t>
      </w:r>
      <w:r>
        <w:rPr>
          <w:b/>
          <w:bCs/>
          <w:kern w:val="0"/>
          <w:sz w:val="24"/>
        </w:rPr>
        <w:t>、</w:t>
      </w:r>
      <w:r>
        <w:rPr>
          <w:rFonts w:hint="eastAsia"/>
          <w:b/>
          <w:bCs/>
          <w:kern w:val="0"/>
          <w:sz w:val="24"/>
        </w:rPr>
        <w:t>先进工作者</w:t>
      </w:r>
    </w:p>
    <w:tbl>
      <w:tblPr>
        <w:tblStyle w:val="5"/>
        <w:tblW w:w="531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26"/>
        <w:gridCol w:w="644"/>
        <w:gridCol w:w="655"/>
        <w:gridCol w:w="680"/>
        <w:gridCol w:w="1409"/>
        <w:gridCol w:w="1906"/>
        <w:gridCol w:w="5668"/>
        <w:gridCol w:w="1555"/>
        <w:gridCol w:w="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2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面貌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职务/职级（职称）</w:t>
            </w:r>
          </w:p>
        </w:tc>
        <w:tc>
          <w:tcPr>
            <w:tcW w:w="18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简要事迹（200字左右）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所属行业</w:t>
            </w:r>
            <w:r>
              <w:rPr>
                <w:rFonts w:hint="eastAsia"/>
                <w:kern w:val="0"/>
                <w:sz w:val="18"/>
                <w:szCs w:val="18"/>
              </w:rPr>
              <w:t>/领域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董传斌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许昌市农业农村局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科长、一级主任科员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该同志政治坚定、勇于担当、实绩突出，多次获省、市级表彰。积极以文辅政，连续多年参与起草市委一号文件、市政府工作报告，制定农村人居环境整治、农村户厕改造等政策文件。善于统筹协调，参与筹备领导莅许视察调研活动和全省两权抵押贷款、农村人居环境整治等现场会，每年筹备市委农村工作会议、中国农民丰收节等会议活动。工作实绩突出，参与推进新农村、新型农村社区建设，协助推动都市生态农业、农村人居环境整治等工作，许昌农村人居环境整治工作曾连续多年位居全省前列。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郭利侠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许昌市农业农村局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科长、一级主任科员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该同志加入农业农村队伍以来，始终坚持做懂农业、爱农村、爱农民的乡村振兴的建设者，坚守人民立场，将为广大养殖群众服务解难题作为践行畜牧人初心的重要目标，不折不扣贯彻落实中央关于做好“六稳”工作，落实“六保”要求，围绕省委、省政府关于稳定生猪生产、畜禽粪污资源化利用等三农工作重点，突出大局意识、服务意识，敢于担当，恪尽职守，高质量高标准完成了各项工作任务。2020年底全市生猪存栏232.1万头，超额完成省定的目标任务，我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" w:eastAsia="zh-CN"/>
              </w:rPr>
              <w:t>市在全省“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十三五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" w:eastAsia="zh-CN"/>
              </w:rPr>
              <w:t>”期间畜禽粪污资源化利用工作绩效考核中名列第五。本人也被农业农村部畜牧兽医局通报表扬。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刘士祥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长葛市农业农村局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长葛市委农办主任、长葛市农业农村局党组书记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该同志坚持用习近平新时代中国特色社会主义思想武装自己，爱岗敬业、恪尽职守，具有很强的事业心和责任感；清廉务实、执政为民，在群众中具有较高的威信；勤奋好学，勇于创新，具有较高的专业素质和业务能力。该同志任职期间，真抓实干，深入实施乡村振兴战略，全力以赴打造“五大亮点”工程。即以乡村振兴战略为统领，促进农业农村领域工作全面发展；以高标准农田建设为重点，持续提升粮食生产能力；以农产品质量安全为抓手，深入推进农业供给侧结构性改革；以新型经营主体为依托，促进农业产业提质增效；以改善民生为出发点，扎实推进乡村建设。长葛市的农业农村工作发展上了一个新的台阶，连续多年保持全省“产粮大县”荣誉，荣获全国农作物病虫害专业化统防统治百强县、被确定为全省乡村振兴示范县（市）。农业农村局荣获河南省基层农技补助项目延伸绩效管理优秀单位。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王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远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魏都区农业农村局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副局长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作为农业农村系统的一名基层党员干部，王远同志对自己严格要求，时时处处以习近平新时代中国特色社会主义思想为指导，坚持做到干一行、爱一行。带领工作人员，克服人员少、经费不足、工作任务重等不利因素，保质保量完成了农村集体产权制度改革考核验收，特别是辖区五一路街道办事处樊沟社区居委会股份经济合作社于2019年7月19日，取得了由中央农业农村部认可的组织机构赋码登记证书，成为许昌市首家，先后被许昌日报、河南日报农村版进行了宣传报道。在接到草地贪夜蛾从越南、缅甸传入我国云南、广西的消息后，迅速行动，提前做好物资储备，冒着酷暑，带领技术人员钻进一人多高的玉米地，不分白天黑夜，查看监测病虫害发生情况，确保辖区秋庄稼的安全，保护了农民群众利益不受损害。“热爱农村，就要为乡村谋振兴，为农民谋幸福。”他是这样说的，也是这样做的。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胡占锋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禹州市农业农村局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股长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该同志自参加工作以来，勤奋敬业，无私奉献。按照工作要求，把农村土地确权颁证工作放在中心位置，克服多方面困难，重点安排、重点部署，明确主要任务，紧盯时间点，及早动员，及时行动，通过宣传动员、力量配备、经费保障、工作落实等各方面措施，确保了该项工作平稳有序进行。禹州市农村土地承包经营权确权登记颁证工作涉及26个乡镇（办），653个行政村，5187个村民小组，涉及农户27.7万户，涉及家庭承包耕地92.39万亩。全市共完成实测面积105.5 万亩，占应确权面积的115%；确权到户面积92.6 万亩，占应确权面积的101%，切实履行了一个共产党员的表率作用。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赵国峰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鄢陵县农业农村局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办公室主任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多年来，热爱“三农”工作，坚持从大局出发，勇担重任，敢于创新，圆满完成了各项工作目标，促进了农业农村工作的高效开展。一是勤学善思，全面提高综合素质。深学理论知识，精研业务知识，学习先进模范，努力提高自己驾驭全局工作、科学决策的水平。二是履职尽责，不断提升工作水平。充分发挥参谋助手作用、督促检查作用、发挥综合协调作用，为全局工作顺利开展创造有利环境。强化规范管理，办文、办会等水平不断提升。疫情期间坚守工作岗位，印制宣传材料、排查登记、协调农资调运等，统筹推进疫情防控与农业生产。三是廉洁自律，起好示范带头作用。严格遵守廉洁从政的各项规定，严格控制各项开支，在接待经费、办公费等管理使用上，精打细算，不铺张浪费。近年来没有任何违规违纪现象发生。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7EE7"/>
    <w:rsid w:val="05AF3D85"/>
    <w:rsid w:val="08FD2558"/>
    <w:rsid w:val="0DA84ADC"/>
    <w:rsid w:val="13357974"/>
    <w:rsid w:val="17D8787E"/>
    <w:rsid w:val="1BBD57AF"/>
    <w:rsid w:val="1D0E3F9A"/>
    <w:rsid w:val="23487EE7"/>
    <w:rsid w:val="27467B6B"/>
    <w:rsid w:val="282224BB"/>
    <w:rsid w:val="28963517"/>
    <w:rsid w:val="299B19A8"/>
    <w:rsid w:val="2CA5254B"/>
    <w:rsid w:val="2D521ADF"/>
    <w:rsid w:val="390845F8"/>
    <w:rsid w:val="402123F4"/>
    <w:rsid w:val="4A862023"/>
    <w:rsid w:val="50C2096E"/>
    <w:rsid w:val="547145DA"/>
    <w:rsid w:val="55316A05"/>
    <w:rsid w:val="5895223F"/>
    <w:rsid w:val="6F4D12BB"/>
    <w:rsid w:val="700B7DE4"/>
    <w:rsid w:val="720A141F"/>
    <w:rsid w:val="777259EF"/>
    <w:rsid w:val="7C8421AC"/>
    <w:rsid w:val="7D3E7E3A"/>
    <w:rsid w:val="7D8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  <w:rPr>
      <w:rFonts w:ascii="Calibri" w:hAnsi="Calibri" w:cs="Times New Roman"/>
      <w:sz w:val="21"/>
      <w:szCs w:val="21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2021-05-08T02:21:00Z</dcterms:created>
  <dc:creator>Administrator</dc:creator>
  <cp:lastModifiedBy>Administrator</cp:lastModifiedBy>
  <cp:lastPrinted>2021-05-08T10:04:10Z</cp:lastPrinted>
  <dcterms:modified xsi:type="dcterms:W3CDTF">2021-05-08T10:08:15Z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BF4608A621444CDC9935C1FC3E9D05FB</vt:lpwstr>
  </property>
</Properties>
</file>