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行政相对人法律风险防控清单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填报单位：（公章）   填表人：张亚丽 联系电话：2968033 填表时间：2024年10月10日</w:t>
      </w:r>
    </w:p>
    <w:tbl>
      <w:tblPr>
        <w:tblStyle w:val="5"/>
        <w:tblW w:w="14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31"/>
        <w:gridCol w:w="981"/>
        <w:gridCol w:w="1056"/>
        <w:gridCol w:w="1446"/>
        <w:gridCol w:w="2645"/>
        <w:gridCol w:w="3163"/>
        <w:gridCol w:w="2082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风险点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相对人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风险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等级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法律依据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法律后果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新宋体" w:hAnsi="新宋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违法行为原因分析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highlight w:val="none"/>
                <w:lang w:val="en" w:eastAsia="zh-CN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防控措施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责任</w:t>
            </w:r>
            <w:r>
              <w:rPr>
                <w:rFonts w:hint="eastAsia" w:ascii="新宋体" w:hAnsi="新宋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1 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侵犯植物新品种权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高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种子</w:t>
            </w: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法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》第二十八条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责令侵权人停止侵权行为，没收违法所得和种子；货值金额不足五万元的，并处一万元以上二十五万元以下罚款；货值金额五万元以上的，并处货值金额五倍以上十倍以下罚款。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假冒授权品种的，责令停止假冒行为，没收违法所得和种子；货值金额不足五万元的，并处一万元以上二十五万元以下罚款；货值金额五万元以上的，并处货值金额五倍以上十倍以下罚款。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一是法律意识淡薄，对侵犯植物新品种权行为认识不清；二是受利益驱动，逃避支付品种权费用以获取更多收入。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1.通过加强对《反不正当竞争法》《商标法》等相关法律法规的宣传，公布处罚危害，引导其自觉抵制假冒伪劣商品。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2.发布案例警示，通过公布侵犯植物新品种权案例，讲解侵权行为的法律责任和赔偿标准，提高品种权人的维权意识和能力。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种业与农药管理科、市农业综合行政执法支队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未按规定建立种子经营台账、经营种子未按规定备案、经营的种子标签不符合规定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高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种子</w:t>
            </w: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法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》第三十六条、第三十八条、第四十一条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由县级以上人民政府农业、林业主管部门责令改正，处二千元以上二万元以下罚款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种子经营者法律意识淡薄，认为经营台账、备案和标签违法性质不严重、无关紧要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  <w:highlight w:val="none"/>
                <w:lang w:val="en-US" w:eastAsia="zh-CN"/>
              </w:rPr>
              <w:t>1.靠前提示、主动服务。通过上门提醒，电话提醒方式，向行政相对人普及《种子法》，明确法律后果，增强法律意识。2.对多次指导提示落实不到位、不积极的行政相对人，开展约谈，督促改正，消除风险。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种业与农药管理科、市农业综合行政执法支队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农产品中农兽药残留超标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中华人民共和国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农产品质量安全法》第七十一条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由县级以上地方人民政府农业农村主管部门责令停止生产经营、追回已经销售的农产品，对违法生产经营的农产品进行无害化处理或者予以监督销毁，没收违法所得，并可以没收用于违法生产经营的工具、设备、原料等物品；违法生产经营的农产品货值金额不足一万元的，并处五万元以上十万元以下罚款，货值金额一万元以上的，并处货值金额十倍以上二十倍以下罚款；对农户，并处五百元以上五千元以下罚款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相对人法律意识淡薄，缺乏农兽药安全使用常识，未落实农药间隔期、兽药休药期规定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1.开展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源头管控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‌。在蔬菜种植集中区域和畜禽养殖集中区域，重点监管高风险品种，减少超标风险。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2.加强引导宣传。发布安全用药规定宣传片，指导种养殖户科学安全用药。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25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285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农产品质量安全监管科、种业与农药管理科、饲料兽药科、市农业综合行政执法支队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67" w:beforeAutospacing="0" w:after="0" w:afterAutospacing="0" w:line="285" w:lineRule="auto"/>
              <w:ind w:left="128" w:leftChars="0" w:right="218" w:rightChars="0" w:firstLine="20" w:firstLineChars="0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农药经营者未按规定建立购销台账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高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《农药管理条例》第二十六条、二十七条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由县级以上人民政府农业行政主管部门责令改正，拒不改正或情节严重的，处2000元以上2万元以下罚款，并由发证机关吊销农药经营许可证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农药经营者法律意识淡薄，认为购销记录复杂费事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  <w:highlight w:val="none"/>
                <w:lang w:val="en-US" w:eastAsia="zh-CN"/>
              </w:rPr>
              <w:t>1.靠前提示、主动服务。通过上门提醒，电话提醒方式，向行政相对人普及《农药管理条例》，明确法律后果，增强法律意识。2.对多次指导提示落实不到位、不积极的行政相对人，开展约谈，督促改正，消除风险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种业与农药管理科、市农业综合行政执法支队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对饲料、饲料添加剂进行拆包、分装的；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《饲料和饲料添加剂管理条例》第四十四条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由县级人民政府饲料管理部门责令改正，没收违法所得和违法经营的产品，并处2000元以上1万元以下罚款：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不良利益驱动、法制观念淡薄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br w:type="textWrapping"/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1.加强日常监管和业务指导，对风险度高的行政相对人，进行《饲料和饲料添加剂管理条例》的法律条文解释，明确法律后果。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2.积极回访。对指导后的行政相对人，开展回访，确保风险消除到位。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饲料兽药科、市农业综合行政执法支队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经营、运输的动物未附有检疫证明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中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default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中华人民共和国动物防疫法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》第一百条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屠宰、经营、运输的动物未附有检疫证明，经营和运输的动物产品未附有检疫证明、检疫标志的，由县级以上地方人民政府农业农村主管部门责令改正，处同类检疫合格动物、动物产品货值金额一倍以下罚款；对货主以外的承运人处运输费用三倍以上五倍以下罚款，情节严重的，处五倍以上十倍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以生猪交易为例，长期以来，生猪出场交易习惯为生猪经纪人代养殖场（户）申报检疫，有些养殖场（户）不知道自己是申报检疫的法定主体，反而误以为生猪经纪人是法定责任人。生猪经纪人有时为了省事，在收购生猪时常常不代养殖场（户）申报检疫，导致养殖场（户）出场未经检疫动物的违法行为的发生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480" w:firstLineChars="200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生猪承运人受雇于生猪经纪人承运生猪时，往往只负责承运生猪，不知道在运输动物前，其负有核查动物检疫合格证明的法律责任，有时碍于情面，不好意思查验动物检疫合格证明，导致承运未经检疫动物违法行为的发生。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1.加强普法宣传，提高养殖场（户）、生猪经纪人、生猪承运人的法律意识。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2.经常性的到养殖场（户）监督指导，检查其生产经营档案，提醒其检疫申报责任。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  <w:highlight w:val="none"/>
                <w:lang w:val="en-US" w:eastAsia="zh-CN"/>
              </w:rPr>
              <w:t>对多次指导提示落实不到位、不积极的行政相对人，开展约谈，督促改正，消除风险。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动物检疫站、市农业综合行政执法支队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畜禽养殖场未建立养殖档案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中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《中华人民共和国畜牧法》第八十六条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5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由县级以上人民政府农业农村主管部门责令限期改正，可以处一万元以下罚款。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养殖场（户）法律意识淡薄，认为记录养殖档案费事无用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8"/>
                <w:highlight w:val="none"/>
                <w:lang w:val="en-US" w:eastAsia="zh-CN"/>
              </w:rPr>
              <w:t>1.靠前提示、主动服务。通过上门提醒，电话提醒方式，向行政相对人普及《畜牧法》，明确法律后果，增强法律意识。2.对多次指导提示落实不到位、不积极的行政相对人，开展约谈，督促改正，消除风险。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畜牧科、市农业综合行政执法支队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生产销售未登记或备案、生产销售与登记或备案产品不符的肥料。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left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自然人、法人或其他组织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低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《肥料登记管理办法》第二十七条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下列情形之一的，由县级以上农业农村主管部门给予警告，并处违法所得3倍以下罚款，但最高不超过30000元；没有违法所得的，处10000元以下罚款：（一）生产、销售未取得登记证的肥料产品;（二）假冒、伪造肥料登记证、登记证号的；（三）生产、销售的肥料产品有效成分或含量与登记批准的内容不符的。</w:t>
            </w:r>
          </w:p>
        </w:tc>
        <w:tc>
          <w:tcPr>
            <w:tcW w:w="3163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both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相对人法治观念淡薄，未认识到行为违法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1.主动服务。针对日常监管中风险高的行政相对人，点对点进行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《肥料登记管理办法》普法教育，指导安全生产，明确未登记或备案的法律后果。2.积极回访。对指导后的行政相对人，开展回访，确保风险消除到位。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粮食作物与经济作物科、市农业综合行政执法支队、农技站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WU1NGY0NjQ1MzVjMmRlYTg5ZWJhYzgwZjIyZWYifQ=="/>
  </w:docVars>
  <w:rsids>
    <w:rsidRoot w:val="49923421"/>
    <w:rsid w:val="071F0864"/>
    <w:rsid w:val="0C767178"/>
    <w:rsid w:val="1722949B"/>
    <w:rsid w:val="1BDA3BAB"/>
    <w:rsid w:val="227764FE"/>
    <w:rsid w:val="2F510054"/>
    <w:rsid w:val="3A064353"/>
    <w:rsid w:val="3DC76C66"/>
    <w:rsid w:val="47F6293F"/>
    <w:rsid w:val="49923421"/>
    <w:rsid w:val="4DD93FB4"/>
    <w:rsid w:val="513318BD"/>
    <w:rsid w:val="591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10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2595</Words>
  <Characters>2633</Characters>
  <Lines>1</Lines>
  <Paragraphs>1</Paragraphs>
  <TotalTime>0</TotalTime>
  <ScaleCrop>false</ScaleCrop>
  <LinksUpToDate>false</LinksUpToDate>
  <CharactersWithSpaces>2665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2024-10-10T11:01:00Z</dcterms:created>
  <dc:creator>飞雪</dc:creator>
  <cp:lastModifiedBy>WPS_1640682740</cp:lastModifiedBy>
  <dcterms:modified xsi:type="dcterms:W3CDTF">2024-10-12T17:24:38Z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BA492900DCD14E909344264043B6B21C_11</vt:lpwstr>
  </property>
</Properties>
</file>